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0D401" w14:textId="77777777" w:rsidR="00D32F9E" w:rsidRDefault="00D32F9E" w:rsidP="005D3ABB">
      <w:pPr>
        <w:spacing w:after="0"/>
        <w:jc w:val="center"/>
        <w:rPr>
          <w:rFonts w:ascii="Times New Roman" w:hAnsi="Times New Roman" w:cs="Times New Roman"/>
          <w:b/>
        </w:rPr>
      </w:pPr>
      <w:r w:rsidRPr="005D3ABB">
        <w:rPr>
          <w:rFonts w:ascii="Times New Roman" w:hAnsi="Times New Roman" w:cs="Times New Roman"/>
          <w:b/>
        </w:rPr>
        <w:t>Efficacy of anti-seizure drugs (ASDs) following traumatic brain injury (TBI)</w:t>
      </w:r>
    </w:p>
    <w:p w14:paraId="0EF200FC" w14:textId="77777777" w:rsidR="00D32F9E" w:rsidRPr="00BF60A7" w:rsidRDefault="00D32F9E" w:rsidP="00D32F9E">
      <w:pPr>
        <w:spacing w:after="0"/>
        <w:rPr>
          <w:rFonts w:ascii="Times New Roman" w:hAnsi="Times New Roman" w:cs="Times New Roman"/>
        </w:rPr>
      </w:pPr>
    </w:p>
    <w:p w14:paraId="751C761F" w14:textId="77777777" w:rsidR="00D32F9E" w:rsidRPr="00BF60A7" w:rsidRDefault="00D32F9E" w:rsidP="00D32F9E">
      <w:pPr>
        <w:spacing w:after="0"/>
        <w:rPr>
          <w:rFonts w:ascii="Times New Roman" w:hAnsi="Times New Roman" w:cs="Times New Roman"/>
          <w:b/>
        </w:rPr>
      </w:pPr>
      <w:r w:rsidRPr="00BF60A7">
        <w:rPr>
          <w:rFonts w:ascii="Times New Roman" w:hAnsi="Times New Roman" w:cs="Times New Roman"/>
          <w:b/>
        </w:rPr>
        <w:t>A. Purpose of the Study</w:t>
      </w:r>
    </w:p>
    <w:p w14:paraId="5FEC7467" w14:textId="77777777" w:rsidR="000110F8" w:rsidRPr="00BF60A7" w:rsidRDefault="00F81996" w:rsidP="00775AED">
      <w:pPr>
        <w:spacing w:after="0" w:line="240" w:lineRule="auto"/>
        <w:ind w:firstLine="720"/>
        <w:rPr>
          <w:rFonts w:ascii="Times New Roman" w:hAnsi="Times New Roman" w:cs="Times New Roman"/>
        </w:rPr>
      </w:pPr>
      <w:r w:rsidRPr="00BF60A7">
        <w:rPr>
          <w:rFonts w:ascii="Times New Roman" w:hAnsi="Times New Roman" w:cs="Times New Roman"/>
        </w:rPr>
        <w:t>Traumatic brain injury</w:t>
      </w:r>
      <w:r w:rsidR="00D07B96" w:rsidRPr="00BF60A7">
        <w:rPr>
          <w:rFonts w:ascii="Times New Roman" w:hAnsi="Times New Roman" w:cs="Times New Roman"/>
        </w:rPr>
        <w:t xml:space="preserve"> (TBI)</w:t>
      </w:r>
      <w:r w:rsidRPr="00BF60A7">
        <w:rPr>
          <w:rFonts w:ascii="Times New Roman" w:hAnsi="Times New Roman" w:cs="Times New Roman"/>
        </w:rPr>
        <w:t xml:space="preserve"> is a leading cause of death an</w:t>
      </w:r>
      <w:r w:rsidR="00172A47" w:rsidRPr="00BF60A7">
        <w:rPr>
          <w:rFonts w:ascii="Times New Roman" w:hAnsi="Times New Roman" w:cs="Times New Roman"/>
        </w:rPr>
        <w:t>d disability (</w:t>
      </w:r>
      <w:r w:rsidR="00846D19" w:rsidRPr="00BF60A7">
        <w:rPr>
          <w:rFonts w:ascii="Times New Roman" w:hAnsi="Times New Roman" w:cs="Times New Roman"/>
        </w:rPr>
        <w:t>Ghajar, 200</w:t>
      </w:r>
      <w:r w:rsidR="00310C7A" w:rsidRPr="00BF60A7">
        <w:rPr>
          <w:rFonts w:ascii="Times New Roman" w:hAnsi="Times New Roman" w:cs="Times New Roman"/>
        </w:rPr>
        <w:t>0; Greenwald, 2003</w:t>
      </w:r>
      <w:r w:rsidR="00172A47" w:rsidRPr="00BF60A7">
        <w:rPr>
          <w:rFonts w:ascii="Times New Roman" w:hAnsi="Times New Roman" w:cs="Times New Roman"/>
        </w:rPr>
        <w:t xml:space="preserve">). </w:t>
      </w:r>
      <w:r w:rsidR="002526CD" w:rsidRPr="00BF60A7">
        <w:rPr>
          <w:rFonts w:ascii="Times New Roman" w:hAnsi="Times New Roman" w:cs="Times New Roman"/>
        </w:rPr>
        <w:t xml:space="preserve">TBI can cause several complications (Chauhan, 2014; </w:t>
      </w:r>
      <w:r w:rsidR="008D1178" w:rsidRPr="00BF60A7">
        <w:rPr>
          <w:rFonts w:ascii="Times New Roman" w:hAnsi="Times New Roman" w:cs="Times New Roman"/>
        </w:rPr>
        <w:t>Wortzel and Arciniegas, 2014), one of which is epilepsy</w:t>
      </w:r>
      <w:r w:rsidR="00E1177E" w:rsidRPr="00BF60A7">
        <w:rPr>
          <w:rFonts w:ascii="Times New Roman" w:hAnsi="Times New Roman" w:cs="Times New Roman"/>
        </w:rPr>
        <w:t xml:space="preserve"> (Frey, 2003). </w:t>
      </w:r>
      <w:r w:rsidR="00130A72">
        <w:rPr>
          <w:rFonts w:ascii="Times New Roman" w:hAnsi="Times New Roman" w:cs="Times New Roman"/>
        </w:rPr>
        <w:t>Seizures after</w:t>
      </w:r>
      <w:r w:rsidR="00775AED">
        <w:rPr>
          <w:rFonts w:ascii="Times New Roman" w:hAnsi="Times New Roman" w:cs="Times New Roman"/>
        </w:rPr>
        <w:t xml:space="preserve"> </w:t>
      </w:r>
      <w:r w:rsidR="00130A72">
        <w:rPr>
          <w:rFonts w:ascii="Times New Roman" w:hAnsi="Times New Roman" w:cs="Times New Roman"/>
        </w:rPr>
        <w:t xml:space="preserve">TBI </w:t>
      </w:r>
      <w:r w:rsidR="00775AED">
        <w:rPr>
          <w:rFonts w:ascii="Times New Roman" w:hAnsi="Times New Roman" w:cs="Times New Roman"/>
        </w:rPr>
        <w:t xml:space="preserve">can be divided into three kinds - </w:t>
      </w:r>
      <w:r w:rsidR="00130A72">
        <w:rPr>
          <w:rFonts w:ascii="Times New Roman" w:hAnsi="Times New Roman" w:cs="Times New Roman"/>
        </w:rPr>
        <w:t xml:space="preserve">impact seizures (seizures that occur within 24 hours of the injury), early seizures (occurring within a week of the initial injury) and late seizures (seizures that occur after the first week following the initial injury; </w:t>
      </w:r>
      <w:r w:rsidR="000A6CB8" w:rsidRPr="00BF60A7">
        <w:rPr>
          <w:rFonts w:ascii="Times New Roman" w:hAnsi="Times New Roman" w:cs="Times New Roman"/>
        </w:rPr>
        <w:t>Annegers et al., 1980</w:t>
      </w:r>
      <w:r w:rsidR="000A6CB8">
        <w:rPr>
          <w:rFonts w:ascii="Times New Roman" w:hAnsi="Times New Roman" w:cs="Times New Roman"/>
        </w:rPr>
        <w:t xml:space="preserve">; </w:t>
      </w:r>
      <w:r w:rsidR="00775AED" w:rsidRPr="00130A72">
        <w:rPr>
          <w:rFonts w:ascii="Times New Roman" w:hAnsi="Times New Roman" w:cs="Times New Roman"/>
        </w:rPr>
        <w:t xml:space="preserve">Iudice </w:t>
      </w:r>
      <w:r w:rsidR="00775AED">
        <w:rPr>
          <w:rFonts w:ascii="Times New Roman" w:hAnsi="Times New Roman" w:cs="Times New Roman"/>
        </w:rPr>
        <w:t>and</w:t>
      </w:r>
      <w:r w:rsidR="00130A72">
        <w:rPr>
          <w:rFonts w:ascii="Times New Roman" w:hAnsi="Times New Roman" w:cs="Times New Roman"/>
        </w:rPr>
        <w:t xml:space="preserve"> Murri, 2000). </w:t>
      </w:r>
      <w:r w:rsidR="00E55B7B" w:rsidRPr="00BF60A7">
        <w:rPr>
          <w:rFonts w:ascii="Times New Roman" w:hAnsi="Times New Roman" w:cs="Times New Roman"/>
        </w:rPr>
        <w:t xml:space="preserve">The current practice </w:t>
      </w:r>
      <w:r w:rsidR="000110F8" w:rsidRPr="00BF60A7">
        <w:rPr>
          <w:rFonts w:ascii="Times New Roman" w:hAnsi="Times New Roman" w:cs="Times New Roman"/>
        </w:rPr>
        <w:t xml:space="preserve">for TBI </w:t>
      </w:r>
      <w:r w:rsidR="00E55B7B" w:rsidRPr="00BF60A7">
        <w:rPr>
          <w:rFonts w:ascii="Times New Roman" w:hAnsi="Times New Roman" w:cs="Times New Roman"/>
        </w:rPr>
        <w:t xml:space="preserve">is administration of a prophylactic anti-seizure drug (ASD) for 7 days </w:t>
      </w:r>
      <w:r w:rsidR="000110F8" w:rsidRPr="00BF60A7">
        <w:rPr>
          <w:rFonts w:ascii="Times New Roman" w:hAnsi="Times New Roman" w:cs="Times New Roman"/>
        </w:rPr>
        <w:t>after the initial injury</w:t>
      </w:r>
      <w:r w:rsidR="00775AED">
        <w:rPr>
          <w:rFonts w:ascii="Times New Roman" w:hAnsi="Times New Roman" w:cs="Times New Roman"/>
        </w:rPr>
        <w:t xml:space="preserve">. This is because early seizures can </w:t>
      </w:r>
      <w:r w:rsidR="00E55B7B" w:rsidRPr="00BF60A7">
        <w:rPr>
          <w:rFonts w:ascii="Times New Roman" w:hAnsi="Times New Roman" w:cs="Times New Roman"/>
        </w:rPr>
        <w:t>increase</w:t>
      </w:r>
      <w:r w:rsidR="00775AED">
        <w:rPr>
          <w:rFonts w:ascii="Times New Roman" w:hAnsi="Times New Roman" w:cs="Times New Roman"/>
        </w:rPr>
        <w:t xml:space="preserve"> </w:t>
      </w:r>
      <w:r w:rsidR="00D07B96" w:rsidRPr="00BF60A7">
        <w:rPr>
          <w:rFonts w:ascii="Times New Roman" w:hAnsi="Times New Roman" w:cs="Times New Roman"/>
        </w:rPr>
        <w:t>one’s chances of having another seizure within the next two years (</w:t>
      </w:r>
      <w:r w:rsidR="006B0B7F" w:rsidRPr="00BF60A7">
        <w:rPr>
          <w:rFonts w:ascii="Times New Roman" w:hAnsi="Times New Roman" w:cs="Times New Roman"/>
        </w:rPr>
        <w:t>Haltiner et</w:t>
      </w:r>
      <w:r w:rsidR="00E55B7B" w:rsidRPr="00BF60A7">
        <w:rPr>
          <w:rFonts w:ascii="Times New Roman" w:hAnsi="Times New Roman" w:cs="Times New Roman"/>
        </w:rPr>
        <w:t xml:space="preserve"> al., 1997; </w:t>
      </w:r>
      <w:r w:rsidR="00D07B96" w:rsidRPr="00BF60A7">
        <w:rPr>
          <w:rFonts w:ascii="Times New Roman" w:hAnsi="Times New Roman" w:cs="Times New Roman"/>
        </w:rPr>
        <w:t>Frey, 2003</w:t>
      </w:r>
      <w:r w:rsidR="00E55B7B" w:rsidRPr="00BF60A7">
        <w:rPr>
          <w:rFonts w:ascii="Times New Roman" w:hAnsi="Times New Roman" w:cs="Times New Roman"/>
        </w:rPr>
        <w:t xml:space="preserve">). However, </w:t>
      </w:r>
      <w:r w:rsidR="002F268C" w:rsidRPr="00BF60A7">
        <w:rPr>
          <w:rFonts w:ascii="Times New Roman" w:hAnsi="Times New Roman" w:cs="Times New Roman"/>
        </w:rPr>
        <w:t>there is no documented evidence</w:t>
      </w:r>
      <w:r w:rsidR="00EF3D84" w:rsidRPr="00BF60A7">
        <w:rPr>
          <w:rFonts w:ascii="Times New Roman" w:hAnsi="Times New Roman" w:cs="Times New Roman"/>
        </w:rPr>
        <w:t>-based data</w:t>
      </w:r>
      <w:r w:rsidR="002F268C" w:rsidRPr="00BF60A7">
        <w:rPr>
          <w:rFonts w:ascii="Times New Roman" w:hAnsi="Times New Roman" w:cs="Times New Roman"/>
        </w:rPr>
        <w:t xml:space="preserve"> </w:t>
      </w:r>
      <w:r w:rsidR="00153DD4">
        <w:rPr>
          <w:rFonts w:ascii="Times New Roman" w:hAnsi="Times New Roman" w:cs="Times New Roman"/>
        </w:rPr>
        <w:t>showing</w:t>
      </w:r>
      <w:r w:rsidR="009A64FC" w:rsidRPr="00BF60A7">
        <w:rPr>
          <w:rFonts w:ascii="Times New Roman" w:hAnsi="Times New Roman" w:cs="Times New Roman"/>
        </w:rPr>
        <w:t xml:space="preserve"> that</w:t>
      </w:r>
      <w:r w:rsidR="002F268C" w:rsidRPr="00BF60A7">
        <w:rPr>
          <w:rFonts w:ascii="Times New Roman" w:hAnsi="Times New Roman" w:cs="Times New Roman"/>
        </w:rPr>
        <w:t xml:space="preserve"> prophylactic ASD administration actually reduces seizure frequency</w:t>
      </w:r>
      <w:r w:rsidR="00D83F61" w:rsidRPr="00BF60A7">
        <w:rPr>
          <w:rFonts w:ascii="Times New Roman" w:hAnsi="Times New Roman" w:cs="Times New Roman"/>
        </w:rPr>
        <w:t xml:space="preserve"> later on</w:t>
      </w:r>
      <w:r w:rsidR="00E21E83">
        <w:rPr>
          <w:rFonts w:ascii="Times New Roman" w:hAnsi="Times New Roman" w:cs="Times New Roman"/>
        </w:rPr>
        <w:t xml:space="preserve"> (</w:t>
      </w:r>
      <w:r w:rsidR="00895E8D">
        <w:rPr>
          <w:rFonts w:ascii="Times New Roman" w:hAnsi="Times New Roman" w:cs="Times New Roman"/>
        </w:rPr>
        <w:t xml:space="preserve">Temkin et al., 1990; </w:t>
      </w:r>
      <w:r w:rsidR="00E21E83" w:rsidRPr="00130A72">
        <w:rPr>
          <w:rFonts w:ascii="Times New Roman" w:hAnsi="Times New Roman" w:cs="Times New Roman"/>
        </w:rPr>
        <w:t xml:space="preserve">Iudice </w:t>
      </w:r>
      <w:r w:rsidR="00E21E83">
        <w:rPr>
          <w:rFonts w:ascii="Times New Roman" w:hAnsi="Times New Roman" w:cs="Times New Roman"/>
        </w:rPr>
        <w:t>and Murri, 2000)</w:t>
      </w:r>
      <w:r w:rsidR="002F268C" w:rsidRPr="00BF60A7">
        <w:rPr>
          <w:rFonts w:ascii="Times New Roman" w:hAnsi="Times New Roman" w:cs="Times New Roman"/>
        </w:rPr>
        <w:t xml:space="preserve">; on the other hand, there is evidence that ASDs may be detrimental </w:t>
      </w:r>
      <w:r w:rsidR="0064524E" w:rsidRPr="00BF60A7">
        <w:rPr>
          <w:rFonts w:ascii="Times New Roman" w:hAnsi="Times New Roman" w:cs="Times New Roman"/>
        </w:rPr>
        <w:t>(Teasell, 2007).</w:t>
      </w:r>
    </w:p>
    <w:p w14:paraId="0D3A780D" w14:textId="77777777" w:rsidR="008B612B" w:rsidRPr="00BF60A7" w:rsidRDefault="008E1D9E" w:rsidP="00414826">
      <w:pPr>
        <w:spacing w:after="0" w:line="240" w:lineRule="auto"/>
        <w:ind w:firstLine="720"/>
        <w:rPr>
          <w:rFonts w:ascii="Times New Roman" w:hAnsi="Times New Roman" w:cs="Times New Roman"/>
        </w:rPr>
      </w:pPr>
      <w:r>
        <w:rPr>
          <w:rFonts w:ascii="Times New Roman" w:hAnsi="Times New Roman" w:cs="Times New Roman"/>
        </w:rPr>
        <w:t xml:space="preserve">Whether or not there is any </w:t>
      </w:r>
      <w:r w:rsidR="00414826">
        <w:rPr>
          <w:rFonts w:ascii="Times New Roman" w:hAnsi="Times New Roman" w:cs="Times New Roman"/>
        </w:rPr>
        <w:t>long-term impact of ASD administration in subjects with TBI is not known. Hence, t</w:t>
      </w:r>
      <w:r w:rsidR="00511BDC" w:rsidRPr="00BF60A7">
        <w:rPr>
          <w:rFonts w:ascii="Times New Roman" w:hAnsi="Times New Roman" w:cs="Times New Roman"/>
        </w:rPr>
        <w:t xml:space="preserve">he purpose of this study is to examine whether prophylactic ASD </w:t>
      </w:r>
      <w:r w:rsidR="00D10515" w:rsidRPr="00BF60A7">
        <w:rPr>
          <w:rFonts w:ascii="Times New Roman" w:hAnsi="Times New Roman" w:cs="Times New Roman"/>
        </w:rPr>
        <w:t>administration</w:t>
      </w:r>
      <w:r w:rsidR="005B00C2">
        <w:rPr>
          <w:rFonts w:ascii="Times New Roman" w:hAnsi="Times New Roman" w:cs="Times New Roman"/>
        </w:rPr>
        <w:t xml:space="preserve"> actually</w:t>
      </w:r>
      <w:r w:rsidR="00511BDC" w:rsidRPr="00BF60A7">
        <w:rPr>
          <w:rFonts w:ascii="Times New Roman" w:hAnsi="Times New Roman" w:cs="Times New Roman"/>
        </w:rPr>
        <w:t xml:space="preserve"> decreases seizure frequency in the first week (acute</w:t>
      </w:r>
      <w:r w:rsidR="00B8697C" w:rsidRPr="00BF60A7">
        <w:rPr>
          <w:rFonts w:ascii="Times New Roman" w:hAnsi="Times New Roman" w:cs="Times New Roman"/>
        </w:rPr>
        <w:t>) a</w:t>
      </w:r>
      <w:r w:rsidR="00D83F61" w:rsidRPr="00BF60A7">
        <w:rPr>
          <w:rFonts w:ascii="Times New Roman" w:hAnsi="Times New Roman" w:cs="Times New Roman"/>
        </w:rPr>
        <w:t xml:space="preserve">nd later (chronic) after TBI, </w:t>
      </w:r>
      <w:r w:rsidR="0064524E" w:rsidRPr="00BF60A7">
        <w:rPr>
          <w:rFonts w:ascii="Times New Roman" w:hAnsi="Times New Roman" w:cs="Times New Roman"/>
        </w:rPr>
        <w:t>t</w:t>
      </w:r>
      <w:r w:rsidR="00D2522E" w:rsidRPr="00BF60A7">
        <w:rPr>
          <w:rFonts w:ascii="Times New Roman" w:hAnsi="Times New Roman" w:cs="Times New Roman"/>
        </w:rPr>
        <w:t>o</w:t>
      </w:r>
      <w:r w:rsidR="00D83F61" w:rsidRPr="00BF60A7">
        <w:rPr>
          <w:rFonts w:ascii="Times New Roman" w:hAnsi="Times New Roman" w:cs="Times New Roman"/>
        </w:rPr>
        <w:t xml:space="preserve"> </w:t>
      </w:r>
      <w:r w:rsidR="00D2522E" w:rsidRPr="00BF60A7">
        <w:rPr>
          <w:rFonts w:ascii="Times New Roman" w:hAnsi="Times New Roman" w:cs="Times New Roman"/>
        </w:rPr>
        <w:t xml:space="preserve">provide evidence-based data for management of individuals with TBI. </w:t>
      </w:r>
    </w:p>
    <w:p w14:paraId="171C3C07" w14:textId="77777777" w:rsidR="00D14875" w:rsidRPr="00BF60A7" w:rsidRDefault="00D14875" w:rsidP="00D32F9E">
      <w:pPr>
        <w:spacing w:after="0"/>
        <w:rPr>
          <w:rFonts w:ascii="Times New Roman" w:hAnsi="Times New Roman" w:cs="Times New Roman"/>
          <w:b/>
        </w:rPr>
      </w:pPr>
    </w:p>
    <w:p w14:paraId="31379FF3" w14:textId="77777777" w:rsidR="00D32F9E" w:rsidRPr="00BF60A7" w:rsidRDefault="00D32F9E" w:rsidP="00D32F9E">
      <w:pPr>
        <w:spacing w:after="0"/>
        <w:rPr>
          <w:rFonts w:ascii="Times New Roman" w:hAnsi="Times New Roman" w:cs="Times New Roman"/>
          <w:b/>
        </w:rPr>
      </w:pPr>
      <w:r w:rsidRPr="00BF60A7">
        <w:rPr>
          <w:rFonts w:ascii="Times New Roman" w:hAnsi="Times New Roman" w:cs="Times New Roman"/>
          <w:b/>
        </w:rPr>
        <w:t xml:space="preserve">B. Background </w:t>
      </w:r>
    </w:p>
    <w:p w14:paraId="3E000B17" w14:textId="77777777" w:rsidR="00033FFF" w:rsidRPr="00BF60A7" w:rsidRDefault="00F516B0" w:rsidP="00BF60A7">
      <w:pPr>
        <w:spacing w:after="0" w:line="240" w:lineRule="auto"/>
        <w:rPr>
          <w:rFonts w:ascii="Times New Roman" w:hAnsi="Times New Roman" w:cs="Times New Roman"/>
        </w:rPr>
      </w:pPr>
      <w:r w:rsidRPr="00BF60A7">
        <w:rPr>
          <w:rFonts w:ascii="Times New Roman" w:hAnsi="Times New Roman" w:cs="Times New Roman"/>
        </w:rPr>
        <w:tab/>
        <w:t xml:space="preserve">TBI is the leading cause of death worldwide </w:t>
      </w:r>
      <w:r w:rsidR="0048137E" w:rsidRPr="00BF60A7">
        <w:rPr>
          <w:rFonts w:ascii="Times New Roman" w:hAnsi="Times New Roman" w:cs="Times New Roman"/>
        </w:rPr>
        <w:t xml:space="preserve">(Greenwald et al., 2003; Maas et al., 2008) and disability </w:t>
      </w:r>
      <w:r w:rsidR="00811597" w:rsidRPr="00BF60A7">
        <w:rPr>
          <w:rFonts w:ascii="Times New Roman" w:hAnsi="Times New Roman" w:cs="Times New Roman"/>
        </w:rPr>
        <w:t xml:space="preserve">(Zink, 2001). TBI can be mild, moderate or severe – approximately 10% of the cases </w:t>
      </w:r>
      <w:r w:rsidR="00D72DCA">
        <w:rPr>
          <w:rFonts w:ascii="Times New Roman" w:hAnsi="Times New Roman" w:cs="Times New Roman"/>
        </w:rPr>
        <w:t>are of</w:t>
      </w:r>
      <w:r w:rsidR="00811597" w:rsidRPr="00BF60A7">
        <w:rPr>
          <w:rFonts w:ascii="Times New Roman" w:hAnsi="Times New Roman" w:cs="Times New Roman"/>
        </w:rPr>
        <w:t xml:space="preserve"> severe TBI, whereas the rest are mild </w:t>
      </w:r>
      <w:r w:rsidR="00087DFA" w:rsidRPr="00BF60A7">
        <w:rPr>
          <w:rFonts w:ascii="Times New Roman" w:hAnsi="Times New Roman" w:cs="Times New Roman"/>
        </w:rPr>
        <w:t>(Narayan et al., 2002</w:t>
      </w:r>
      <w:r w:rsidR="008503C8" w:rsidRPr="00BF60A7">
        <w:rPr>
          <w:rFonts w:ascii="Times New Roman" w:hAnsi="Times New Roman" w:cs="Times New Roman"/>
        </w:rPr>
        <w:t>; Meyer et al., 2008</w:t>
      </w:r>
      <w:r w:rsidR="00A906B7" w:rsidRPr="00BF60A7">
        <w:rPr>
          <w:rFonts w:ascii="Times New Roman" w:hAnsi="Times New Roman" w:cs="Times New Roman"/>
        </w:rPr>
        <w:t xml:space="preserve">). TBI is associated with numerous complications, one of which is epilepsy </w:t>
      </w:r>
      <w:r w:rsidR="00196556" w:rsidRPr="00BF60A7">
        <w:rPr>
          <w:rFonts w:ascii="Times New Roman" w:hAnsi="Times New Roman" w:cs="Times New Roman"/>
        </w:rPr>
        <w:t xml:space="preserve">(D'Ambrosio and </w:t>
      </w:r>
      <w:r w:rsidR="009F16E9" w:rsidRPr="00BF60A7">
        <w:rPr>
          <w:rFonts w:ascii="Times New Roman" w:hAnsi="Times New Roman" w:cs="Times New Roman"/>
        </w:rPr>
        <w:t>Perucca,</w:t>
      </w:r>
      <w:r w:rsidR="00196556" w:rsidRPr="00BF60A7">
        <w:rPr>
          <w:rFonts w:ascii="Times New Roman" w:hAnsi="Times New Roman" w:cs="Times New Roman"/>
        </w:rPr>
        <w:t xml:space="preserve"> 2004). The incidence of seizures post-trauma </w:t>
      </w:r>
      <w:r w:rsidR="00575E31" w:rsidRPr="00BF60A7">
        <w:rPr>
          <w:rFonts w:ascii="Times New Roman" w:hAnsi="Times New Roman" w:cs="Times New Roman"/>
        </w:rPr>
        <w:t>ranges from 4.4 to 53% depending on the population</w:t>
      </w:r>
      <w:r w:rsidR="00196556" w:rsidRPr="00BF60A7">
        <w:rPr>
          <w:rFonts w:ascii="Times New Roman" w:hAnsi="Times New Roman" w:cs="Times New Roman"/>
        </w:rPr>
        <w:t xml:space="preserve"> and severity of the injury</w:t>
      </w:r>
      <w:r w:rsidR="00575E31" w:rsidRPr="00BF60A7">
        <w:rPr>
          <w:rFonts w:ascii="Times New Roman" w:hAnsi="Times New Roman" w:cs="Times New Roman"/>
        </w:rPr>
        <w:t xml:space="preserve"> (</w:t>
      </w:r>
      <w:r w:rsidR="00196556" w:rsidRPr="00BF60A7">
        <w:rPr>
          <w:rFonts w:ascii="Times New Roman" w:hAnsi="Times New Roman" w:cs="Times New Roman"/>
        </w:rPr>
        <w:t>Frey, 2003</w:t>
      </w:r>
      <w:r w:rsidR="00033FFF" w:rsidRPr="00BF60A7">
        <w:rPr>
          <w:rFonts w:ascii="Times New Roman" w:hAnsi="Times New Roman" w:cs="Times New Roman"/>
        </w:rPr>
        <w:t xml:space="preserve">; Annegers and Coan, 2000). </w:t>
      </w:r>
      <w:r w:rsidR="0031076D">
        <w:rPr>
          <w:rFonts w:ascii="Times New Roman" w:hAnsi="Times New Roman" w:cs="Times New Roman"/>
        </w:rPr>
        <w:t xml:space="preserve">As many as </w:t>
      </w:r>
      <w:r w:rsidR="00033FFF" w:rsidRPr="00BF60A7">
        <w:rPr>
          <w:rFonts w:ascii="Times New Roman" w:hAnsi="Times New Roman" w:cs="Times New Roman"/>
        </w:rPr>
        <w:t xml:space="preserve"> 20% of all acquired epilepsy cases are due to TBI (Anegers</w:t>
      </w:r>
      <w:r w:rsidR="00C928C2" w:rsidRPr="00BF60A7">
        <w:rPr>
          <w:rFonts w:ascii="Times New Roman" w:hAnsi="Times New Roman" w:cs="Times New Roman"/>
        </w:rPr>
        <w:t>, 1991</w:t>
      </w:r>
      <w:r w:rsidR="00033FFF" w:rsidRPr="00BF60A7">
        <w:rPr>
          <w:rFonts w:ascii="Times New Roman" w:hAnsi="Times New Roman" w:cs="Times New Roman"/>
        </w:rPr>
        <w:t>; Lowenstein, 2000; Jabbari et al., 2002; Beghi et al., 20</w:t>
      </w:r>
      <w:r w:rsidR="002F6CA1">
        <w:rPr>
          <w:rFonts w:ascii="Times New Roman" w:hAnsi="Times New Roman" w:cs="Times New Roman"/>
        </w:rPr>
        <w:t xml:space="preserve">10). </w:t>
      </w:r>
      <w:r w:rsidR="00033FFF" w:rsidRPr="00BF60A7">
        <w:rPr>
          <w:rFonts w:ascii="Times New Roman" w:hAnsi="Times New Roman" w:cs="Times New Roman"/>
        </w:rPr>
        <w:t xml:space="preserve">Over half of the population who has suffered a TBI </w:t>
      </w:r>
      <w:r w:rsidR="006B0B7F" w:rsidRPr="00BF60A7">
        <w:rPr>
          <w:rFonts w:ascii="Times New Roman" w:hAnsi="Times New Roman" w:cs="Times New Roman"/>
        </w:rPr>
        <w:t xml:space="preserve">develops post-traumatic seizures within 2 years, although the risk of seizures remains high as long as 10 years after the injury (Haltiner et al., 1997). As expected, the incidence of seizures after severe TBI is much higher than that after mild TBI (Haddad and Arabi, 2012).     </w:t>
      </w:r>
    </w:p>
    <w:p w14:paraId="22B634B8" w14:textId="77777777" w:rsidR="006E51E3" w:rsidRDefault="006B0B7F" w:rsidP="00BF60A7">
      <w:pPr>
        <w:spacing w:after="0" w:line="240" w:lineRule="auto"/>
        <w:rPr>
          <w:rFonts w:ascii="Times New Roman" w:hAnsi="Times New Roman" w:cs="Times New Roman"/>
        </w:rPr>
      </w:pPr>
      <w:r w:rsidRPr="00BF60A7">
        <w:rPr>
          <w:rFonts w:ascii="Times New Roman" w:hAnsi="Times New Roman" w:cs="Times New Roman"/>
        </w:rPr>
        <w:tab/>
        <w:t xml:space="preserve">Current practice </w:t>
      </w:r>
      <w:r w:rsidR="00AA14B7" w:rsidRPr="00BF60A7">
        <w:rPr>
          <w:rFonts w:ascii="Times New Roman" w:hAnsi="Times New Roman" w:cs="Times New Roman"/>
        </w:rPr>
        <w:t>parameters by the American</w:t>
      </w:r>
      <w:r w:rsidR="00D53588">
        <w:rPr>
          <w:rFonts w:ascii="Times New Roman" w:hAnsi="Times New Roman" w:cs="Times New Roman"/>
        </w:rPr>
        <w:t xml:space="preserve"> Academy of Neurology (AAN</w:t>
      </w:r>
      <w:r w:rsidR="002F6CA1">
        <w:rPr>
          <w:rFonts w:ascii="Times New Roman" w:hAnsi="Times New Roman" w:cs="Times New Roman"/>
        </w:rPr>
        <w:t xml:space="preserve">; </w:t>
      </w:r>
      <w:r w:rsidR="002F6CA1" w:rsidRPr="00BF60A7">
        <w:rPr>
          <w:rFonts w:ascii="Times New Roman" w:hAnsi="Times New Roman" w:cs="Times New Roman"/>
        </w:rPr>
        <w:t>Chang and Lowenstein, 200</w:t>
      </w:r>
      <w:r w:rsidR="002F6CA1">
        <w:rPr>
          <w:rFonts w:ascii="Times New Roman" w:hAnsi="Times New Roman" w:cs="Times New Roman"/>
        </w:rPr>
        <w:t>3</w:t>
      </w:r>
      <w:r w:rsidR="00D53588">
        <w:rPr>
          <w:rFonts w:ascii="Times New Roman" w:hAnsi="Times New Roman" w:cs="Times New Roman"/>
        </w:rPr>
        <w:t xml:space="preserve">) </w:t>
      </w:r>
      <w:r w:rsidR="002F6CA1">
        <w:rPr>
          <w:rFonts w:ascii="Times New Roman" w:hAnsi="Times New Roman" w:cs="Times New Roman"/>
        </w:rPr>
        <w:t>and other studies (</w:t>
      </w:r>
      <w:r w:rsidR="002F6CA1" w:rsidRPr="00BF60A7">
        <w:rPr>
          <w:rFonts w:ascii="Times New Roman" w:hAnsi="Times New Roman" w:cs="Times New Roman"/>
        </w:rPr>
        <w:t>Temkin, 2009</w:t>
      </w:r>
      <w:r w:rsidR="002F6CA1">
        <w:rPr>
          <w:rFonts w:ascii="Times New Roman" w:hAnsi="Times New Roman" w:cs="Times New Roman"/>
        </w:rPr>
        <w:t xml:space="preserve">) </w:t>
      </w:r>
      <w:r w:rsidR="009E3B11" w:rsidRPr="00BF60A7">
        <w:rPr>
          <w:rFonts w:ascii="Times New Roman" w:hAnsi="Times New Roman" w:cs="Times New Roman"/>
        </w:rPr>
        <w:t>suggest that</w:t>
      </w:r>
      <w:r w:rsidR="00AA14B7" w:rsidRPr="00BF60A7">
        <w:rPr>
          <w:rFonts w:ascii="Times New Roman" w:hAnsi="Times New Roman" w:cs="Times New Roman"/>
        </w:rPr>
        <w:t xml:space="preserve"> administration of </w:t>
      </w:r>
      <w:r w:rsidR="00365E9E" w:rsidRPr="00BF60A7">
        <w:rPr>
          <w:rFonts w:ascii="Times New Roman" w:hAnsi="Times New Roman" w:cs="Times New Roman"/>
        </w:rPr>
        <w:t>prophyl</w:t>
      </w:r>
      <w:r w:rsidR="00C87E2A" w:rsidRPr="00BF60A7">
        <w:rPr>
          <w:rFonts w:ascii="Times New Roman" w:hAnsi="Times New Roman" w:cs="Times New Roman"/>
        </w:rPr>
        <w:t xml:space="preserve">actic ASD </w:t>
      </w:r>
      <w:r w:rsidR="009E3B11" w:rsidRPr="00BF60A7">
        <w:rPr>
          <w:rFonts w:ascii="Times New Roman" w:hAnsi="Times New Roman" w:cs="Times New Roman"/>
        </w:rPr>
        <w:t>during the fi</w:t>
      </w:r>
      <w:r w:rsidR="00BE759D">
        <w:rPr>
          <w:rFonts w:ascii="Times New Roman" w:hAnsi="Times New Roman" w:cs="Times New Roman"/>
        </w:rPr>
        <w:t>rst week after traumatic injury</w:t>
      </w:r>
      <w:r w:rsidR="00C87E2A" w:rsidRPr="00BF60A7">
        <w:rPr>
          <w:rFonts w:ascii="Times New Roman" w:hAnsi="Times New Roman" w:cs="Times New Roman"/>
        </w:rPr>
        <w:t xml:space="preserve"> reduces frequency of early</w:t>
      </w:r>
      <w:r w:rsidR="0045592E">
        <w:rPr>
          <w:rFonts w:ascii="Times New Roman" w:hAnsi="Times New Roman" w:cs="Times New Roman"/>
        </w:rPr>
        <w:t xml:space="preserve"> pos</w:t>
      </w:r>
      <w:r w:rsidR="00E15AF9">
        <w:rPr>
          <w:rFonts w:ascii="Times New Roman" w:hAnsi="Times New Roman" w:cs="Times New Roman"/>
        </w:rPr>
        <w:t>t-traumatic seizures, but not late seizures</w:t>
      </w:r>
      <w:r w:rsidR="002F6CA1">
        <w:rPr>
          <w:rFonts w:ascii="Times New Roman" w:hAnsi="Times New Roman" w:cs="Times New Roman"/>
        </w:rPr>
        <w:t>, but other studies have shown</w:t>
      </w:r>
      <w:r w:rsidR="003A4EF6" w:rsidRPr="00BF60A7">
        <w:rPr>
          <w:rFonts w:ascii="Times New Roman" w:hAnsi="Times New Roman" w:cs="Times New Roman"/>
        </w:rPr>
        <w:t xml:space="preserve"> that </w:t>
      </w:r>
      <w:r w:rsidR="00F60122" w:rsidRPr="00BF60A7">
        <w:rPr>
          <w:rFonts w:ascii="Times New Roman" w:hAnsi="Times New Roman" w:cs="Times New Roman"/>
        </w:rPr>
        <w:t>prophylactic ASD may be detrimental (Teasell, 2007)</w:t>
      </w:r>
      <w:r w:rsidR="00B220D6" w:rsidRPr="00BF60A7">
        <w:rPr>
          <w:rFonts w:ascii="Times New Roman" w:hAnsi="Times New Roman" w:cs="Times New Roman"/>
        </w:rPr>
        <w:t>.</w:t>
      </w:r>
    </w:p>
    <w:p w14:paraId="431135A2" w14:textId="77777777" w:rsidR="00A3512A" w:rsidRDefault="006E51E3" w:rsidP="0044347F">
      <w:pPr>
        <w:spacing w:after="0" w:line="240" w:lineRule="auto"/>
        <w:rPr>
          <w:rFonts w:ascii="Times New Roman" w:hAnsi="Times New Roman" w:cs="Times New Roman"/>
        </w:rPr>
      </w:pPr>
      <w:r>
        <w:rPr>
          <w:rFonts w:ascii="Times New Roman" w:hAnsi="Times New Roman" w:cs="Times New Roman"/>
        </w:rPr>
        <w:tab/>
        <w:t>The practice of administering ASD prophylactially is to prevent early seizure</w:t>
      </w:r>
      <w:r w:rsidR="00A820AE">
        <w:rPr>
          <w:rFonts w:ascii="Times New Roman" w:hAnsi="Times New Roman" w:cs="Times New Roman"/>
        </w:rPr>
        <w:t>s-</w:t>
      </w:r>
      <w:r w:rsidR="00423D9A">
        <w:rPr>
          <w:rFonts w:ascii="Times New Roman" w:hAnsi="Times New Roman" w:cs="Times New Roman"/>
        </w:rPr>
        <w:t xml:space="preserve"> this is under the </w:t>
      </w:r>
      <w:r w:rsidR="00423D9A" w:rsidRPr="00423D9A">
        <w:rPr>
          <w:rFonts w:ascii="Times New Roman" w:hAnsi="Times New Roman" w:cs="Times New Roman"/>
        </w:rPr>
        <w:t>premise that there is no ability to evaluate and monitor for seizures except clinical events.</w:t>
      </w:r>
      <w:r w:rsidR="00807265">
        <w:rPr>
          <w:rFonts w:ascii="Times New Roman" w:hAnsi="Times New Roman" w:cs="Times New Roman"/>
        </w:rPr>
        <w:t xml:space="preserve"> </w:t>
      </w:r>
      <w:r w:rsidR="00807265" w:rsidRPr="00807265">
        <w:rPr>
          <w:rFonts w:ascii="Times New Roman" w:hAnsi="Times New Roman" w:cs="Times New Roman"/>
        </w:rPr>
        <w:t>The majority of seizures in an ICU setting are subclinical.</w:t>
      </w:r>
      <w:r w:rsidR="00807265" w:rsidRPr="00807265">
        <w:t xml:space="preserve"> </w:t>
      </w:r>
      <w:r w:rsidR="00807265" w:rsidRPr="00807265">
        <w:rPr>
          <w:rFonts w:ascii="Times New Roman" w:hAnsi="Times New Roman" w:cs="Times New Roman"/>
        </w:rPr>
        <w:t xml:space="preserve">To know if a patient is </w:t>
      </w:r>
      <w:r w:rsidR="00807265">
        <w:rPr>
          <w:rFonts w:ascii="Times New Roman" w:hAnsi="Times New Roman" w:cs="Times New Roman"/>
        </w:rPr>
        <w:t xml:space="preserve">truly </w:t>
      </w:r>
      <w:r w:rsidR="00807265" w:rsidRPr="00807265">
        <w:rPr>
          <w:rFonts w:ascii="Times New Roman" w:hAnsi="Times New Roman" w:cs="Times New Roman"/>
        </w:rPr>
        <w:t xml:space="preserve">seizing, one would need </w:t>
      </w:r>
      <w:r w:rsidR="001321F1">
        <w:rPr>
          <w:rFonts w:ascii="Times New Roman" w:hAnsi="Times New Roman" w:cs="Times New Roman"/>
        </w:rPr>
        <w:t>continuous</w:t>
      </w:r>
      <w:r w:rsidR="00807265">
        <w:rPr>
          <w:rFonts w:ascii="Times New Roman" w:hAnsi="Times New Roman" w:cs="Times New Roman"/>
        </w:rPr>
        <w:t xml:space="preserve"> </w:t>
      </w:r>
      <w:r w:rsidR="00807265" w:rsidRPr="00807265">
        <w:rPr>
          <w:rFonts w:ascii="Times New Roman" w:hAnsi="Times New Roman" w:cs="Times New Roman"/>
        </w:rPr>
        <w:t xml:space="preserve">EEG </w:t>
      </w:r>
      <w:r w:rsidR="001321F1">
        <w:rPr>
          <w:rFonts w:ascii="Times New Roman" w:hAnsi="Times New Roman" w:cs="Times New Roman"/>
        </w:rPr>
        <w:t xml:space="preserve">(cEEG) </w:t>
      </w:r>
      <w:r w:rsidR="00807265">
        <w:rPr>
          <w:rFonts w:ascii="Times New Roman" w:hAnsi="Times New Roman" w:cs="Times New Roman"/>
        </w:rPr>
        <w:t xml:space="preserve">monitoring </w:t>
      </w:r>
      <w:r w:rsidR="001321F1">
        <w:rPr>
          <w:rFonts w:ascii="Times New Roman" w:hAnsi="Times New Roman" w:cs="Times New Roman"/>
        </w:rPr>
        <w:t>to examine</w:t>
      </w:r>
      <w:r w:rsidR="00807265" w:rsidRPr="00807265">
        <w:rPr>
          <w:rFonts w:ascii="Times New Roman" w:hAnsi="Times New Roman" w:cs="Times New Roman"/>
        </w:rPr>
        <w:t xml:space="preserve"> the potential for early seizures. The </w:t>
      </w:r>
      <w:r w:rsidR="00533E56">
        <w:rPr>
          <w:rFonts w:ascii="Times New Roman" w:hAnsi="Times New Roman" w:cs="Times New Roman"/>
        </w:rPr>
        <w:t xml:space="preserve">AAN </w:t>
      </w:r>
      <w:r w:rsidR="00807265" w:rsidRPr="00807265">
        <w:rPr>
          <w:rFonts w:ascii="Times New Roman" w:hAnsi="Times New Roman" w:cs="Times New Roman"/>
        </w:rPr>
        <w:t>guideline recommendation</w:t>
      </w:r>
      <w:r w:rsidR="00533E56">
        <w:rPr>
          <w:rFonts w:ascii="Times New Roman" w:hAnsi="Times New Roman" w:cs="Times New Roman"/>
        </w:rPr>
        <w:t xml:space="preserve"> (Chang and Lowenstein, 2003)</w:t>
      </w:r>
      <w:r w:rsidR="00807265" w:rsidRPr="00807265">
        <w:rPr>
          <w:rFonts w:ascii="Times New Roman" w:hAnsi="Times New Roman" w:cs="Times New Roman"/>
        </w:rPr>
        <w:t xml:space="preserve"> of 1 week of ASD prophylaxis represents a reasonable compromise</w:t>
      </w:r>
      <w:r w:rsidR="00807265">
        <w:rPr>
          <w:rFonts w:ascii="Times New Roman" w:hAnsi="Times New Roman" w:cs="Times New Roman"/>
        </w:rPr>
        <w:t xml:space="preserve">. </w:t>
      </w:r>
      <w:r w:rsidR="00807265" w:rsidRPr="00BF60A7">
        <w:rPr>
          <w:rFonts w:ascii="Times New Roman" w:hAnsi="Times New Roman" w:cs="Times New Roman"/>
        </w:rPr>
        <w:t xml:space="preserve">The goal of this study is to </w:t>
      </w:r>
      <w:r w:rsidR="001321F1">
        <w:rPr>
          <w:rFonts w:ascii="Times New Roman" w:hAnsi="Times New Roman" w:cs="Times New Roman"/>
        </w:rPr>
        <w:t xml:space="preserve">use cEEG monitoring to </w:t>
      </w:r>
      <w:r w:rsidR="00807265" w:rsidRPr="00BF60A7">
        <w:rPr>
          <w:rFonts w:ascii="Times New Roman" w:hAnsi="Times New Roman" w:cs="Times New Roman"/>
        </w:rPr>
        <w:t>provide evidence-based data on the use of ASDs in TBI to allow for better management and care of individuals with TBI.</w:t>
      </w:r>
      <w:r w:rsidR="00533E56">
        <w:rPr>
          <w:rFonts w:ascii="Times New Roman" w:hAnsi="Times New Roman" w:cs="Times New Roman"/>
        </w:rPr>
        <w:t xml:space="preserve"> </w:t>
      </w:r>
      <w:r w:rsidR="001321F1">
        <w:rPr>
          <w:rFonts w:ascii="Times New Roman" w:hAnsi="Times New Roman" w:cs="Times New Roman"/>
        </w:rPr>
        <w:t>Another</w:t>
      </w:r>
      <w:r w:rsidR="00807265">
        <w:rPr>
          <w:rFonts w:ascii="Times New Roman" w:hAnsi="Times New Roman" w:cs="Times New Roman"/>
        </w:rPr>
        <w:t xml:space="preserve"> issue is the discrepancy in choice and dose of ASD prescribed – </w:t>
      </w:r>
      <w:r w:rsidR="0044347F">
        <w:rPr>
          <w:rFonts w:ascii="Times New Roman" w:hAnsi="Times New Roman" w:cs="Times New Roman"/>
        </w:rPr>
        <w:t>commonly used ASDs are Keppra</w:t>
      </w:r>
      <w:r w:rsidR="0044347F" w:rsidRPr="0044347F">
        <w:rPr>
          <w:rFonts w:ascii="Times New Roman" w:hAnsi="Times New Roman" w:cs="Times New Roman"/>
        </w:rPr>
        <w:t xml:space="preserve"> </w:t>
      </w:r>
      <w:r w:rsidR="0044347F">
        <w:rPr>
          <w:rFonts w:ascii="Times New Roman" w:hAnsi="Times New Roman" w:cs="Times New Roman"/>
        </w:rPr>
        <w:t>(l</w:t>
      </w:r>
      <w:r w:rsidR="0044347F" w:rsidRPr="0044347F">
        <w:rPr>
          <w:rFonts w:ascii="Times New Roman" w:hAnsi="Times New Roman" w:cs="Times New Roman"/>
        </w:rPr>
        <w:t>evetiracetam</w:t>
      </w:r>
      <w:r w:rsidR="0044347F">
        <w:rPr>
          <w:rFonts w:ascii="Times New Roman" w:hAnsi="Times New Roman" w:cs="Times New Roman"/>
        </w:rPr>
        <w:t xml:space="preserve">) and Cerebyx </w:t>
      </w:r>
      <w:r w:rsidR="0044347F" w:rsidRPr="0044347F">
        <w:rPr>
          <w:rFonts w:ascii="Times New Roman" w:hAnsi="Times New Roman" w:cs="Times New Roman"/>
        </w:rPr>
        <w:t>(fosphenytoin sodium</w:t>
      </w:r>
      <w:r w:rsidR="0044347F">
        <w:rPr>
          <w:rFonts w:ascii="Times New Roman" w:hAnsi="Times New Roman" w:cs="Times New Roman"/>
        </w:rPr>
        <w:t xml:space="preserve">), but </w:t>
      </w:r>
      <w:r w:rsidR="00A820AE">
        <w:rPr>
          <w:rFonts w:ascii="Times New Roman" w:hAnsi="Times New Roman" w:cs="Times New Roman"/>
        </w:rPr>
        <w:t>which agent</w:t>
      </w:r>
      <w:r w:rsidR="0044347F">
        <w:rPr>
          <w:rFonts w:ascii="Times New Roman" w:hAnsi="Times New Roman" w:cs="Times New Roman"/>
        </w:rPr>
        <w:t xml:space="preserve"> is most beneficial is not fully understood. </w:t>
      </w:r>
    </w:p>
    <w:p w14:paraId="064369F0" w14:textId="77777777" w:rsidR="0044347F" w:rsidRPr="00BE759D" w:rsidRDefault="0044347F" w:rsidP="0044347F">
      <w:pPr>
        <w:spacing w:after="0" w:line="240" w:lineRule="auto"/>
        <w:rPr>
          <w:rFonts w:ascii="Times New Roman" w:hAnsi="Times New Roman" w:cs="Times New Roman"/>
        </w:rPr>
      </w:pPr>
    </w:p>
    <w:p w14:paraId="6343C6BF" w14:textId="77777777" w:rsidR="00D32F9E" w:rsidRPr="00BF60A7" w:rsidRDefault="00D32F9E" w:rsidP="00D32F9E">
      <w:pPr>
        <w:spacing w:after="0"/>
        <w:rPr>
          <w:rFonts w:ascii="Times New Roman" w:hAnsi="Times New Roman" w:cs="Times New Roman"/>
          <w:b/>
        </w:rPr>
      </w:pPr>
      <w:r w:rsidRPr="00BF60A7">
        <w:rPr>
          <w:rFonts w:ascii="Times New Roman" w:hAnsi="Times New Roman" w:cs="Times New Roman"/>
          <w:b/>
        </w:rPr>
        <w:t>C. Description of Methodology</w:t>
      </w:r>
    </w:p>
    <w:p w14:paraId="3A2C6DD2" w14:textId="77777777" w:rsidR="00303CF0" w:rsidRPr="00BF60A7" w:rsidRDefault="00303CF0" w:rsidP="00BF60A7">
      <w:pPr>
        <w:spacing w:after="0" w:line="240" w:lineRule="auto"/>
        <w:rPr>
          <w:rFonts w:ascii="Times New Roman" w:hAnsi="Times New Roman" w:cs="Times New Roman"/>
        </w:rPr>
      </w:pPr>
      <w:r w:rsidRPr="00BF60A7">
        <w:rPr>
          <w:rFonts w:ascii="Times New Roman" w:hAnsi="Times New Roman" w:cs="Times New Roman"/>
          <w:b/>
        </w:rPr>
        <w:tab/>
      </w:r>
      <w:r w:rsidRPr="00BF60A7">
        <w:rPr>
          <w:rFonts w:ascii="Times New Roman" w:hAnsi="Times New Roman" w:cs="Times New Roman"/>
        </w:rPr>
        <w:t xml:space="preserve">Patients admitted to Morristown Medical </w:t>
      </w:r>
      <w:r w:rsidR="006D62E7">
        <w:rPr>
          <w:rFonts w:ascii="Times New Roman" w:hAnsi="Times New Roman" w:cs="Times New Roman"/>
        </w:rPr>
        <w:t>Center (a Level I Trauma center)</w:t>
      </w:r>
      <w:r w:rsidRPr="00BF60A7">
        <w:rPr>
          <w:rFonts w:ascii="Times New Roman" w:hAnsi="Times New Roman" w:cs="Times New Roman"/>
        </w:rPr>
        <w:t xml:space="preserve"> </w:t>
      </w:r>
      <w:r w:rsidR="00B575DA" w:rsidRPr="00BF60A7">
        <w:rPr>
          <w:rFonts w:ascii="Times New Roman" w:hAnsi="Times New Roman" w:cs="Times New Roman"/>
        </w:rPr>
        <w:t xml:space="preserve">with a diagnosis of TBI (and who provide with consent in the affirmative) </w:t>
      </w:r>
      <w:r w:rsidRPr="00BF60A7">
        <w:rPr>
          <w:rFonts w:ascii="Times New Roman" w:hAnsi="Times New Roman" w:cs="Times New Roman"/>
        </w:rPr>
        <w:t xml:space="preserve">will undergo </w:t>
      </w:r>
      <w:r w:rsidR="00807265">
        <w:rPr>
          <w:rFonts w:ascii="Times New Roman" w:hAnsi="Times New Roman" w:cs="Times New Roman"/>
        </w:rPr>
        <w:t>cE</w:t>
      </w:r>
      <w:r w:rsidR="00B575DA">
        <w:rPr>
          <w:rFonts w:ascii="Times New Roman" w:hAnsi="Times New Roman" w:cs="Times New Roman"/>
        </w:rPr>
        <w:t>EG</w:t>
      </w:r>
      <w:r w:rsidR="00807265">
        <w:rPr>
          <w:rFonts w:ascii="Times New Roman" w:hAnsi="Times New Roman" w:cs="Times New Roman"/>
        </w:rPr>
        <w:t xml:space="preserve"> </w:t>
      </w:r>
      <w:r w:rsidRPr="00BF60A7">
        <w:rPr>
          <w:rFonts w:ascii="Times New Roman" w:hAnsi="Times New Roman" w:cs="Times New Roman"/>
        </w:rPr>
        <w:t>monitoring</w:t>
      </w:r>
      <w:r w:rsidR="00904EA9">
        <w:rPr>
          <w:rFonts w:ascii="Times New Roman" w:hAnsi="Times New Roman" w:cs="Times New Roman"/>
        </w:rPr>
        <w:t xml:space="preserve"> for 7 days</w:t>
      </w:r>
      <w:r w:rsidRPr="00BF60A7">
        <w:rPr>
          <w:rFonts w:ascii="Times New Roman" w:hAnsi="Times New Roman" w:cs="Times New Roman"/>
        </w:rPr>
        <w:t xml:space="preserve"> in addition to the routine standard of care provided for TBI. </w:t>
      </w:r>
      <w:r w:rsidR="00203089" w:rsidRPr="00BF60A7">
        <w:rPr>
          <w:rFonts w:ascii="Times New Roman" w:hAnsi="Times New Roman" w:cs="Times New Roman"/>
        </w:rPr>
        <w:t>They will be administered an ASD (the control groups will not</w:t>
      </w:r>
      <w:r w:rsidR="00F57DFE" w:rsidRPr="00BF60A7">
        <w:rPr>
          <w:rFonts w:ascii="Times New Roman" w:hAnsi="Times New Roman" w:cs="Times New Roman"/>
        </w:rPr>
        <w:t xml:space="preserve"> be administered ASD</w:t>
      </w:r>
      <w:r w:rsidR="00203089" w:rsidRPr="00BF60A7">
        <w:rPr>
          <w:rFonts w:ascii="Times New Roman" w:hAnsi="Times New Roman" w:cs="Times New Roman"/>
        </w:rPr>
        <w:t>)</w:t>
      </w:r>
      <w:r w:rsidR="00F57DFE" w:rsidRPr="00BF60A7">
        <w:rPr>
          <w:rFonts w:ascii="Times New Roman" w:hAnsi="Times New Roman" w:cs="Times New Roman"/>
        </w:rPr>
        <w:t>,</w:t>
      </w:r>
      <w:r w:rsidR="00203089" w:rsidRPr="00BF60A7">
        <w:rPr>
          <w:rFonts w:ascii="Times New Roman" w:hAnsi="Times New Roman" w:cs="Times New Roman"/>
        </w:rPr>
        <w:t xml:space="preserve"> and seizure frequency will be examined at regular intervals </w:t>
      </w:r>
      <w:r w:rsidR="00A9702A">
        <w:rPr>
          <w:rFonts w:ascii="Times New Roman" w:hAnsi="Times New Roman" w:cs="Times New Roman"/>
        </w:rPr>
        <w:t>for 5 years following the</w:t>
      </w:r>
      <w:r w:rsidR="00203089" w:rsidRPr="00BF60A7">
        <w:rPr>
          <w:rFonts w:ascii="Times New Roman" w:hAnsi="Times New Roman" w:cs="Times New Roman"/>
        </w:rPr>
        <w:t xml:space="preserve"> TBI</w:t>
      </w:r>
      <w:r w:rsidR="00A9702A">
        <w:rPr>
          <w:rFonts w:ascii="Times New Roman" w:hAnsi="Times New Roman" w:cs="Times New Roman"/>
        </w:rPr>
        <w:t xml:space="preserve">. </w:t>
      </w:r>
    </w:p>
    <w:p w14:paraId="557DE25C" w14:textId="77777777" w:rsidR="00303CF0" w:rsidRPr="00BF60A7" w:rsidRDefault="00303CF0" w:rsidP="00D32F9E">
      <w:pPr>
        <w:spacing w:after="0"/>
        <w:rPr>
          <w:rFonts w:ascii="Times New Roman" w:hAnsi="Times New Roman" w:cs="Times New Roman"/>
        </w:rPr>
      </w:pPr>
    </w:p>
    <w:p w14:paraId="5961D1CA" w14:textId="77777777" w:rsidR="00D32F9E" w:rsidRPr="00BF60A7" w:rsidRDefault="00D32F9E" w:rsidP="00D32F9E">
      <w:pPr>
        <w:spacing w:after="0"/>
        <w:rPr>
          <w:rFonts w:ascii="Times New Roman" w:hAnsi="Times New Roman" w:cs="Times New Roman"/>
          <w:b/>
        </w:rPr>
      </w:pPr>
      <w:r w:rsidRPr="00BF60A7">
        <w:rPr>
          <w:rFonts w:ascii="Times New Roman" w:hAnsi="Times New Roman" w:cs="Times New Roman"/>
          <w:b/>
        </w:rPr>
        <w:t>D.  Participant Selection</w:t>
      </w:r>
    </w:p>
    <w:p w14:paraId="18BA2194" w14:textId="77777777" w:rsidR="00D32F9E" w:rsidRPr="00BF60A7" w:rsidRDefault="00263926" w:rsidP="00BF60A7">
      <w:pPr>
        <w:spacing w:after="0" w:line="240" w:lineRule="auto"/>
        <w:ind w:left="720"/>
        <w:rPr>
          <w:rFonts w:ascii="Times New Roman" w:hAnsi="Times New Roman" w:cs="Times New Roman"/>
        </w:rPr>
      </w:pPr>
      <w:r w:rsidRPr="00BF60A7">
        <w:rPr>
          <w:rFonts w:ascii="Times New Roman" w:hAnsi="Times New Roman" w:cs="Times New Roman"/>
        </w:rPr>
        <w:t>(1</w:t>
      </w:r>
      <w:r w:rsidR="00D32F9E" w:rsidRPr="00BF60A7">
        <w:rPr>
          <w:rFonts w:ascii="Times New Roman" w:hAnsi="Times New Roman" w:cs="Times New Roman"/>
        </w:rPr>
        <w:t xml:space="preserve">) Eligibility Criteria </w:t>
      </w:r>
      <w:r w:rsidRPr="00BF60A7">
        <w:rPr>
          <w:rFonts w:ascii="Times New Roman" w:hAnsi="Times New Roman" w:cs="Times New Roman"/>
        </w:rPr>
        <w:t xml:space="preserve">- Any adult patient </w:t>
      </w:r>
      <w:r w:rsidR="006D62E7">
        <w:rPr>
          <w:rFonts w:ascii="Times New Roman" w:hAnsi="Times New Roman" w:cs="Times New Roman"/>
        </w:rPr>
        <w:t xml:space="preserve">(18+ years of age) </w:t>
      </w:r>
      <w:r w:rsidRPr="00BF60A7">
        <w:rPr>
          <w:rFonts w:ascii="Times New Roman" w:hAnsi="Times New Roman" w:cs="Times New Roman"/>
        </w:rPr>
        <w:t xml:space="preserve">admitted to Morristown Medical Hospital with a diagnosis of TBI suspected within the previous 48 hours of </w:t>
      </w:r>
      <w:r w:rsidR="006F622F" w:rsidRPr="00BF60A7">
        <w:rPr>
          <w:rFonts w:ascii="Times New Roman" w:hAnsi="Times New Roman" w:cs="Times New Roman"/>
        </w:rPr>
        <w:t>admission.</w:t>
      </w:r>
    </w:p>
    <w:p w14:paraId="37A6F386" w14:textId="77777777" w:rsidR="00B8697C" w:rsidRPr="00BF60A7" w:rsidRDefault="00B8697C" w:rsidP="00BF60A7">
      <w:pPr>
        <w:spacing w:after="0" w:line="240" w:lineRule="auto"/>
        <w:ind w:left="720"/>
        <w:rPr>
          <w:rFonts w:ascii="Times New Roman" w:hAnsi="Times New Roman" w:cs="Times New Roman"/>
        </w:rPr>
      </w:pPr>
    </w:p>
    <w:p w14:paraId="1AD91D78" w14:textId="77777777" w:rsidR="00263926" w:rsidRPr="00BF60A7" w:rsidRDefault="00263926" w:rsidP="00BF60A7">
      <w:pPr>
        <w:spacing w:after="0" w:line="240" w:lineRule="auto"/>
        <w:ind w:firstLine="720"/>
        <w:rPr>
          <w:rFonts w:ascii="Times New Roman" w:hAnsi="Times New Roman" w:cs="Times New Roman"/>
        </w:rPr>
      </w:pPr>
      <w:r w:rsidRPr="00BF60A7">
        <w:rPr>
          <w:rFonts w:ascii="Times New Roman" w:hAnsi="Times New Roman" w:cs="Times New Roman"/>
        </w:rPr>
        <w:t xml:space="preserve">(2) Exclusion Criteria - Patients admitted with a known history of epilepsy. </w:t>
      </w:r>
    </w:p>
    <w:p w14:paraId="164C4A81" w14:textId="77777777" w:rsidR="00B8697C" w:rsidRPr="00BF60A7" w:rsidRDefault="00B8697C" w:rsidP="00BF60A7">
      <w:pPr>
        <w:spacing w:after="0" w:line="240" w:lineRule="auto"/>
        <w:ind w:firstLine="720"/>
        <w:rPr>
          <w:rFonts w:ascii="Times New Roman" w:hAnsi="Times New Roman" w:cs="Times New Roman"/>
        </w:rPr>
      </w:pPr>
    </w:p>
    <w:p w14:paraId="07D2FC67" w14:textId="77777777" w:rsidR="006E63DB" w:rsidRPr="00BF60A7" w:rsidRDefault="006E63DB" w:rsidP="00BF60A7">
      <w:pPr>
        <w:spacing w:after="0" w:line="240" w:lineRule="auto"/>
        <w:ind w:left="720"/>
        <w:rPr>
          <w:rFonts w:ascii="Times New Roman" w:hAnsi="Times New Roman" w:cs="Times New Roman"/>
        </w:rPr>
      </w:pPr>
      <w:r w:rsidRPr="00BF60A7">
        <w:rPr>
          <w:rFonts w:ascii="Times New Roman" w:hAnsi="Times New Roman" w:cs="Times New Roman"/>
        </w:rPr>
        <w:t xml:space="preserve">(3) </w:t>
      </w:r>
      <w:r w:rsidR="002A6593" w:rsidRPr="00BF60A7">
        <w:rPr>
          <w:rFonts w:ascii="Times New Roman" w:hAnsi="Times New Roman" w:cs="Times New Roman"/>
        </w:rPr>
        <w:t xml:space="preserve">Recruitment </w:t>
      </w:r>
      <w:r w:rsidR="001A5895" w:rsidRPr="00BF60A7">
        <w:rPr>
          <w:rFonts w:ascii="Times New Roman" w:hAnsi="Times New Roman" w:cs="Times New Roman"/>
        </w:rPr>
        <w:t>- Any</w:t>
      </w:r>
      <w:r w:rsidR="002A6593" w:rsidRPr="00BF60A7">
        <w:rPr>
          <w:rFonts w:ascii="Times New Roman" w:hAnsi="Times New Roman" w:cs="Times New Roman"/>
        </w:rPr>
        <w:t xml:space="preserve"> patient meeting eligibility criteria will be offered an opportunity to participate in the study</w:t>
      </w:r>
      <w:r w:rsidR="00A16F82">
        <w:rPr>
          <w:rFonts w:ascii="Times New Roman" w:hAnsi="Times New Roman" w:cs="Times New Roman"/>
        </w:rPr>
        <w:t>.</w:t>
      </w:r>
    </w:p>
    <w:p w14:paraId="44299E1C" w14:textId="77777777" w:rsidR="00B8697C" w:rsidRPr="00BF60A7" w:rsidRDefault="00B8697C" w:rsidP="00BF60A7">
      <w:pPr>
        <w:spacing w:after="0" w:line="240" w:lineRule="auto"/>
        <w:ind w:left="720"/>
        <w:rPr>
          <w:rFonts w:ascii="Times New Roman" w:hAnsi="Times New Roman" w:cs="Times New Roman"/>
        </w:rPr>
      </w:pPr>
    </w:p>
    <w:p w14:paraId="0BA375D6" w14:textId="77777777" w:rsidR="001A5895" w:rsidRPr="00BF60A7" w:rsidRDefault="001A5895" w:rsidP="00BF60A7">
      <w:pPr>
        <w:spacing w:after="0" w:line="240" w:lineRule="auto"/>
        <w:ind w:firstLine="720"/>
        <w:rPr>
          <w:rFonts w:ascii="Times New Roman" w:hAnsi="Times New Roman" w:cs="Times New Roman"/>
        </w:rPr>
      </w:pPr>
      <w:r w:rsidRPr="00BF60A7">
        <w:rPr>
          <w:rFonts w:ascii="Times New Roman" w:hAnsi="Times New Roman" w:cs="Times New Roman"/>
        </w:rPr>
        <w:t>(4) Informed Consent</w:t>
      </w:r>
    </w:p>
    <w:p w14:paraId="18EC482B" w14:textId="77777777" w:rsidR="001A5895" w:rsidRPr="00BF60A7" w:rsidRDefault="001A5895" w:rsidP="00BF60A7">
      <w:pPr>
        <w:spacing w:after="0" w:line="240" w:lineRule="auto"/>
        <w:ind w:left="720"/>
        <w:rPr>
          <w:rFonts w:ascii="Times New Roman" w:hAnsi="Times New Roman" w:cs="Times New Roman"/>
        </w:rPr>
      </w:pPr>
      <w:r w:rsidRPr="00BF60A7">
        <w:rPr>
          <w:rFonts w:ascii="Times New Roman" w:hAnsi="Times New Roman" w:cs="Times New Roman"/>
        </w:rPr>
        <w:t>a. On admission, the purposes of the study will be explained to the patient and/or family members</w:t>
      </w:r>
      <w:r w:rsidR="00AE108E" w:rsidRPr="00BF60A7">
        <w:rPr>
          <w:rFonts w:ascii="Times New Roman" w:hAnsi="Times New Roman" w:cs="Times New Roman"/>
        </w:rPr>
        <w:t>.</w:t>
      </w:r>
    </w:p>
    <w:p w14:paraId="3B9960A7" w14:textId="77777777" w:rsidR="009B2138" w:rsidRPr="00BF60A7" w:rsidRDefault="001A5895" w:rsidP="00BF60A7">
      <w:pPr>
        <w:spacing w:after="0" w:line="240" w:lineRule="auto"/>
        <w:ind w:left="720"/>
        <w:rPr>
          <w:rFonts w:ascii="Times New Roman" w:hAnsi="Times New Roman" w:cs="Times New Roman"/>
        </w:rPr>
      </w:pPr>
      <w:r w:rsidRPr="00BF60A7">
        <w:rPr>
          <w:rFonts w:ascii="Times New Roman" w:hAnsi="Times New Roman" w:cs="Times New Roman"/>
        </w:rPr>
        <w:t xml:space="preserve">b. </w:t>
      </w:r>
      <w:r w:rsidR="0018332E" w:rsidRPr="00BF60A7">
        <w:rPr>
          <w:rFonts w:ascii="Times New Roman" w:hAnsi="Times New Roman" w:cs="Times New Roman"/>
        </w:rPr>
        <w:t>Patient and /or family members will be p</w:t>
      </w:r>
      <w:r w:rsidRPr="00BF60A7">
        <w:rPr>
          <w:rFonts w:ascii="Times New Roman" w:hAnsi="Times New Roman" w:cs="Times New Roman"/>
        </w:rPr>
        <w:t>rovide</w:t>
      </w:r>
      <w:r w:rsidR="0018332E" w:rsidRPr="00BF60A7">
        <w:rPr>
          <w:rFonts w:ascii="Times New Roman" w:hAnsi="Times New Roman" w:cs="Times New Roman"/>
        </w:rPr>
        <w:t>d</w:t>
      </w:r>
      <w:r w:rsidRPr="00BF60A7">
        <w:rPr>
          <w:rFonts w:ascii="Times New Roman" w:hAnsi="Times New Roman" w:cs="Times New Roman"/>
        </w:rPr>
        <w:t xml:space="preserve"> a copy of the consent form document (or provide rationale for waiver of consent documentation)</w:t>
      </w:r>
      <w:r w:rsidR="0018332E" w:rsidRPr="00BF60A7">
        <w:rPr>
          <w:rFonts w:ascii="Times New Roman" w:hAnsi="Times New Roman" w:cs="Times New Roman"/>
        </w:rPr>
        <w:t xml:space="preserve">. </w:t>
      </w:r>
    </w:p>
    <w:p w14:paraId="061DC801" w14:textId="77777777" w:rsidR="00F81996" w:rsidRPr="00BF60A7" w:rsidRDefault="00F81996" w:rsidP="00BF60A7">
      <w:pPr>
        <w:spacing w:after="0" w:line="240" w:lineRule="auto"/>
        <w:rPr>
          <w:rFonts w:ascii="Times New Roman" w:hAnsi="Times New Roman" w:cs="Times New Roman"/>
        </w:rPr>
      </w:pPr>
    </w:p>
    <w:p w14:paraId="3F8E7FF7" w14:textId="77777777" w:rsidR="009B2138" w:rsidRPr="00BF60A7" w:rsidRDefault="009B2138" w:rsidP="001A5895">
      <w:pPr>
        <w:spacing w:after="0"/>
        <w:rPr>
          <w:rFonts w:ascii="Times New Roman" w:hAnsi="Times New Roman" w:cs="Times New Roman"/>
          <w:b/>
        </w:rPr>
      </w:pPr>
      <w:r w:rsidRPr="00BF60A7">
        <w:rPr>
          <w:rFonts w:ascii="Times New Roman" w:hAnsi="Times New Roman" w:cs="Times New Roman"/>
          <w:b/>
        </w:rPr>
        <w:t>E.  Description of Agent(s) involved:</w:t>
      </w:r>
    </w:p>
    <w:p w14:paraId="58D00A02" w14:textId="77777777" w:rsidR="00F81996" w:rsidRDefault="0018332E" w:rsidP="00456296">
      <w:pPr>
        <w:spacing w:after="0" w:line="240" w:lineRule="auto"/>
        <w:rPr>
          <w:rFonts w:ascii="Times New Roman" w:hAnsi="Times New Roman" w:cs="Times New Roman"/>
        </w:rPr>
      </w:pPr>
      <w:r w:rsidRPr="00BF60A7">
        <w:rPr>
          <w:rFonts w:ascii="Times New Roman" w:hAnsi="Times New Roman" w:cs="Times New Roman"/>
        </w:rPr>
        <w:tab/>
      </w:r>
      <w:r w:rsidR="00B575DA" w:rsidRPr="00BF60A7">
        <w:rPr>
          <w:rFonts w:ascii="Times New Roman" w:hAnsi="Times New Roman" w:cs="Times New Roman"/>
        </w:rPr>
        <w:t xml:space="preserve">All patients will undergo </w:t>
      </w:r>
      <w:r w:rsidR="00B575DA">
        <w:rPr>
          <w:rFonts w:ascii="Times New Roman" w:hAnsi="Times New Roman" w:cs="Times New Roman"/>
        </w:rPr>
        <w:t>c</w:t>
      </w:r>
      <w:r w:rsidR="00B575DA" w:rsidRPr="00BF60A7">
        <w:rPr>
          <w:rFonts w:ascii="Times New Roman" w:hAnsi="Times New Roman" w:cs="Times New Roman"/>
        </w:rPr>
        <w:t>EEG monitoring</w:t>
      </w:r>
      <w:r w:rsidR="00B358E8">
        <w:rPr>
          <w:rFonts w:ascii="Times New Roman" w:hAnsi="Times New Roman" w:cs="Times New Roman"/>
        </w:rPr>
        <w:t xml:space="preserve"> for 7 days</w:t>
      </w:r>
      <w:r w:rsidR="00B575DA" w:rsidRPr="00BF60A7">
        <w:rPr>
          <w:rFonts w:ascii="Times New Roman" w:hAnsi="Times New Roman" w:cs="Times New Roman"/>
        </w:rPr>
        <w:t xml:space="preserve"> in addition to the standard care. </w:t>
      </w:r>
      <w:r w:rsidR="00D273D6" w:rsidRPr="00BF60A7">
        <w:rPr>
          <w:rFonts w:ascii="Times New Roman" w:hAnsi="Times New Roman" w:cs="Times New Roman"/>
        </w:rPr>
        <w:t xml:space="preserve">Half of the </w:t>
      </w:r>
      <w:r w:rsidR="00456296">
        <w:rPr>
          <w:rFonts w:ascii="Times New Roman" w:hAnsi="Times New Roman" w:cs="Times New Roman"/>
        </w:rPr>
        <w:t xml:space="preserve">patients </w:t>
      </w:r>
      <w:r w:rsidR="0061573B" w:rsidRPr="00BF60A7">
        <w:rPr>
          <w:rFonts w:ascii="Times New Roman" w:hAnsi="Times New Roman" w:cs="Times New Roman"/>
        </w:rPr>
        <w:t xml:space="preserve">will be administered </w:t>
      </w:r>
      <w:r w:rsidR="000418C9" w:rsidRPr="00BF60A7">
        <w:rPr>
          <w:rFonts w:ascii="Times New Roman" w:hAnsi="Times New Roman" w:cs="Times New Roman"/>
        </w:rPr>
        <w:t xml:space="preserve">an ASD, whereas the other half will not be given an ASD. </w:t>
      </w:r>
      <w:r w:rsidR="00DF7842" w:rsidRPr="00BF60A7">
        <w:rPr>
          <w:rFonts w:ascii="Times New Roman" w:hAnsi="Times New Roman" w:cs="Times New Roman"/>
        </w:rPr>
        <w:t>An A</w:t>
      </w:r>
      <w:r w:rsidR="001901C4" w:rsidRPr="00BF60A7">
        <w:rPr>
          <w:rFonts w:ascii="Times New Roman" w:hAnsi="Times New Roman" w:cs="Times New Roman"/>
        </w:rPr>
        <w:t>SD</w:t>
      </w:r>
      <w:r w:rsidR="00456296">
        <w:rPr>
          <w:rFonts w:ascii="Times New Roman" w:hAnsi="Times New Roman" w:cs="Times New Roman"/>
        </w:rPr>
        <w:t xml:space="preserve"> - Keppra</w:t>
      </w:r>
      <w:r w:rsidR="00456296" w:rsidRPr="0044347F">
        <w:rPr>
          <w:rFonts w:ascii="Times New Roman" w:hAnsi="Times New Roman" w:cs="Times New Roman"/>
        </w:rPr>
        <w:t xml:space="preserve"> </w:t>
      </w:r>
      <w:r w:rsidR="00456296">
        <w:rPr>
          <w:rFonts w:ascii="Times New Roman" w:hAnsi="Times New Roman" w:cs="Times New Roman"/>
        </w:rPr>
        <w:t>(l</w:t>
      </w:r>
      <w:r w:rsidR="00456296" w:rsidRPr="0044347F">
        <w:rPr>
          <w:rFonts w:ascii="Times New Roman" w:hAnsi="Times New Roman" w:cs="Times New Roman"/>
        </w:rPr>
        <w:t>evetiracetam</w:t>
      </w:r>
      <w:r w:rsidR="00456296">
        <w:rPr>
          <w:rFonts w:ascii="Times New Roman" w:hAnsi="Times New Roman" w:cs="Times New Roman"/>
        </w:rPr>
        <w:t xml:space="preserve">) or Cerebyx </w:t>
      </w:r>
      <w:r w:rsidR="00456296" w:rsidRPr="0044347F">
        <w:rPr>
          <w:rFonts w:ascii="Times New Roman" w:hAnsi="Times New Roman" w:cs="Times New Roman"/>
        </w:rPr>
        <w:t>(fosphenytoin sodium</w:t>
      </w:r>
      <w:r w:rsidR="007102F6">
        <w:rPr>
          <w:rFonts w:ascii="Times New Roman" w:hAnsi="Times New Roman" w:cs="Times New Roman"/>
        </w:rPr>
        <w:t>) -</w:t>
      </w:r>
      <w:r w:rsidR="00456296">
        <w:rPr>
          <w:rFonts w:ascii="Times New Roman" w:hAnsi="Times New Roman" w:cs="Times New Roman"/>
        </w:rPr>
        <w:t xml:space="preserve"> </w:t>
      </w:r>
      <w:r w:rsidR="000418C9" w:rsidRPr="00BF60A7">
        <w:rPr>
          <w:rFonts w:ascii="Times New Roman" w:hAnsi="Times New Roman" w:cs="Times New Roman"/>
        </w:rPr>
        <w:t>will be given for 7</w:t>
      </w:r>
      <w:r w:rsidR="00456296">
        <w:rPr>
          <w:rFonts w:ascii="Times New Roman" w:hAnsi="Times New Roman" w:cs="Times New Roman"/>
        </w:rPr>
        <w:t xml:space="preserve"> days</w:t>
      </w:r>
      <w:r w:rsidR="00065759" w:rsidRPr="00BF60A7">
        <w:rPr>
          <w:rFonts w:ascii="Times New Roman" w:hAnsi="Times New Roman" w:cs="Times New Roman"/>
        </w:rPr>
        <w:t xml:space="preserve"> </w:t>
      </w:r>
      <w:r w:rsidR="00456296">
        <w:rPr>
          <w:rFonts w:ascii="Times New Roman" w:hAnsi="Times New Roman" w:cs="Times New Roman"/>
        </w:rPr>
        <w:t xml:space="preserve">by weight. </w:t>
      </w:r>
    </w:p>
    <w:p w14:paraId="401CE26B" w14:textId="77777777" w:rsidR="00AE5847" w:rsidRPr="00BF60A7" w:rsidRDefault="00AE5847" w:rsidP="00B575DA">
      <w:pPr>
        <w:spacing w:after="0"/>
        <w:rPr>
          <w:rFonts w:ascii="Times New Roman" w:hAnsi="Times New Roman" w:cs="Times New Roman"/>
        </w:rPr>
      </w:pPr>
    </w:p>
    <w:p w14:paraId="2F26E7BB" w14:textId="77777777" w:rsidR="009B2138" w:rsidRPr="00BF60A7" w:rsidRDefault="00B575DA" w:rsidP="001A5895">
      <w:pPr>
        <w:spacing w:after="0"/>
        <w:rPr>
          <w:rFonts w:ascii="Times New Roman" w:hAnsi="Times New Roman" w:cs="Times New Roman"/>
          <w:b/>
        </w:rPr>
      </w:pPr>
      <w:r>
        <w:rPr>
          <w:rFonts w:ascii="Times New Roman" w:hAnsi="Times New Roman" w:cs="Times New Roman"/>
          <w:b/>
        </w:rPr>
        <w:t>F</w:t>
      </w:r>
      <w:r w:rsidR="009B2138" w:rsidRPr="00BF60A7">
        <w:rPr>
          <w:rFonts w:ascii="Times New Roman" w:hAnsi="Times New Roman" w:cs="Times New Roman"/>
          <w:b/>
        </w:rPr>
        <w:t xml:space="preserve">.  Description of Potential Risks and (or) Adverse Effects: </w:t>
      </w:r>
    </w:p>
    <w:p w14:paraId="0294C801" w14:textId="77777777" w:rsidR="006F622F" w:rsidRDefault="00F62CDB" w:rsidP="00BB6970">
      <w:pPr>
        <w:spacing w:after="0" w:line="240" w:lineRule="auto"/>
        <w:ind w:firstLine="720"/>
        <w:rPr>
          <w:rFonts w:ascii="Times New Roman" w:hAnsi="Times New Roman" w:cs="Times New Roman"/>
        </w:rPr>
      </w:pPr>
      <w:r>
        <w:rPr>
          <w:rFonts w:ascii="Times New Roman" w:hAnsi="Times New Roman" w:cs="Times New Roman"/>
        </w:rPr>
        <w:t>EEG monitoring is associated with an increased risk of</w:t>
      </w:r>
      <w:r w:rsidR="00D22E3E" w:rsidRPr="00BF60A7">
        <w:rPr>
          <w:rFonts w:ascii="Times New Roman" w:hAnsi="Times New Roman" w:cs="Times New Roman"/>
        </w:rPr>
        <w:t xml:space="preserve"> skin</w:t>
      </w:r>
      <w:r>
        <w:rPr>
          <w:rFonts w:ascii="Times New Roman" w:hAnsi="Times New Roman" w:cs="Times New Roman"/>
        </w:rPr>
        <w:t xml:space="preserve"> breakdown or irritation; however, </w:t>
      </w:r>
      <w:r w:rsidR="00D22E3E" w:rsidRPr="00BF60A7">
        <w:rPr>
          <w:rFonts w:ascii="Times New Roman" w:hAnsi="Times New Roman" w:cs="Times New Roman"/>
        </w:rPr>
        <w:t>this is minor and quickly heals.</w:t>
      </w:r>
      <w:r w:rsidR="00A16F82">
        <w:rPr>
          <w:rFonts w:ascii="Times New Roman" w:hAnsi="Times New Roman" w:cs="Times New Roman"/>
        </w:rPr>
        <w:t xml:space="preserve"> </w:t>
      </w:r>
      <w:r w:rsidR="00BB6970">
        <w:rPr>
          <w:rFonts w:ascii="Times New Roman" w:hAnsi="Times New Roman" w:cs="Times New Roman"/>
        </w:rPr>
        <w:t>Since all patients will undergo cEEG monitoring, w</w:t>
      </w:r>
      <w:r w:rsidR="00A16F82">
        <w:rPr>
          <w:rFonts w:ascii="Times New Roman" w:hAnsi="Times New Roman" w:cs="Times New Roman"/>
        </w:rPr>
        <w:t>e</w:t>
      </w:r>
      <w:r w:rsidR="00DC4CA7">
        <w:rPr>
          <w:rFonts w:ascii="Times New Roman" w:hAnsi="Times New Roman" w:cs="Times New Roman"/>
        </w:rPr>
        <w:t xml:space="preserve"> expect to detect subclinical seizures. If we observe such seizures in the ASD group, we will escalate the dose of ASD. If we observe subclinical seizures in the control group, they will be administered an ASD</w:t>
      </w:r>
      <w:r w:rsidR="00BB6970">
        <w:rPr>
          <w:rFonts w:ascii="Times New Roman" w:hAnsi="Times New Roman" w:cs="Times New Roman"/>
        </w:rPr>
        <w:t xml:space="preserve"> and </w:t>
      </w:r>
      <w:r w:rsidR="002F013D">
        <w:rPr>
          <w:rFonts w:ascii="Times New Roman" w:hAnsi="Times New Roman" w:cs="Times New Roman"/>
        </w:rPr>
        <w:t xml:space="preserve">seizure frequency will be </w:t>
      </w:r>
      <w:r w:rsidR="00BB6970">
        <w:rPr>
          <w:rFonts w:ascii="Times New Roman" w:hAnsi="Times New Roman" w:cs="Times New Roman"/>
        </w:rPr>
        <w:t xml:space="preserve">monitored as planned. </w:t>
      </w:r>
    </w:p>
    <w:p w14:paraId="20C98464" w14:textId="77777777" w:rsidR="00A9702A" w:rsidRDefault="00A9702A" w:rsidP="00BB6970">
      <w:pPr>
        <w:spacing w:after="0" w:line="240" w:lineRule="auto"/>
        <w:ind w:firstLine="720"/>
        <w:rPr>
          <w:rFonts w:ascii="Times New Roman" w:hAnsi="Times New Roman" w:cs="Times New Roman"/>
        </w:rPr>
      </w:pPr>
    </w:p>
    <w:p w14:paraId="6DE8A261" w14:textId="77777777" w:rsidR="00904EA9" w:rsidRDefault="00904EA9" w:rsidP="00BB6970">
      <w:pPr>
        <w:spacing w:after="0" w:line="240" w:lineRule="auto"/>
        <w:ind w:firstLine="720"/>
        <w:rPr>
          <w:rFonts w:ascii="Times New Roman" w:hAnsi="Times New Roman" w:cs="Times New Roman"/>
        </w:rPr>
      </w:pPr>
    </w:p>
    <w:p w14:paraId="10AA60F9" w14:textId="77777777" w:rsidR="00BB6970" w:rsidRDefault="00BB6970" w:rsidP="00904EA9">
      <w:pPr>
        <w:spacing w:after="0" w:line="240" w:lineRule="auto"/>
        <w:rPr>
          <w:rFonts w:ascii="Times New Roman" w:hAnsi="Times New Roman" w:cs="Times New Roman"/>
        </w:rPr>
      </w:pPr>
    </w:p>
    <w:p w14:paraId="7356DC23" w14:textId="77777777" w:rsidR="009B2138" w:rsidRPr="00BF60A7" w:rsidRDefault="003B7EA1" w:rsidP="009B2138">
      <w:pPr>
        <w:spacing w:after="0"/>
        <w:rPr>
          <w:rFonts w:ascii="Times New Roman" w:hAnsi="Times New Roman" w:cs="Times New Roman"/>
          <w:b/>
        </w:rPr>
      </w:pPr>
      <w:r>
        <w:rPr>
          <w:rFonts w:ascii="Times New Roman" w:hAnsi="Times New Roman" w:cs="Times New Roman"/>
          <w:b/>
        </w:rPr>
        <w:t>G</w:t>
      </w:r>
      <w:r w:rsidR="009B2138" w:rsidRPr="00BF60A7">
        <w:rPr>
          <w:rFonts w:ascii="Times New Roman" w:hAnsi="Times New Roman" w:cs="Times New Roman"/>
          <w:b/>
        </w:rPr>
        <w:t>.  Description of Potential Benefits:</w:t>
      </w:r>
    </w:p>
    <w:p w14:paraId="664826F2" w14:textId="77777777" w:rsidR="00A9702A" w:rsidRDefault="00A3512A" w:rsidP="00AE5847">
      <w:pPr>
        <w:spacing w:after="0" w:line="240" w:lineRule="auto"/>
        <w:ind w:firstLine="720"/>
        <w:rPr>
          <w:rFonts w:ascii="Times New Roman" w:hAnsi="Times New Roman" w:cs="Times New Roman"/>
        </w:rPr>
      </w:pPr>
      <w:r w:rsidRPr="00BF60A7">
        <w:rPr>
          <w:rFonts w:ascii="Times New Roman" w:hAnsi="Times New Roman" w:cs="Times New Roman"/>
        </w:rPr>
        <w:t xml:space="preserve">Individuals who </w:t>
      </w:r>
      <w:r w:rsidR="00BD03F7" w:rsidRPr="00BF60A7">
        <w:rPr>
          <w:rFonts w:ascii="Times New Roman" w:hAnsi="Times New Roman" w:cs="Times New Roman"/>
        </w:rPr>
        <w:t>are admitted</w:t>
      </w:r>
      <w:r w:rsidR="00353792" w:rsidRPr="00BF60A7">
        <w:rPr>
          <w:rFonts w:ascii="Times New Roman" w:hAnsi="Times New Roman" w:cs="Times New Roman"/>
        </w:rPr>
        <w:t xml:space="preserve"> with TBI are administered </w:t>
      </w:r>
      <w:r w:rsidR="00BD03F7" w:rsidRPr="00BF60A7">
        <w:rPr>
          <w:rFonts w:ascii="Times New Roman" w:eastAsia="Times New Roman" w:hAnsi="Times New Roman" w:cs="Times New Roman"/>
          <w:color w:val="222222"/>
        </w:rPr>
        <w:t xml:space="preserve">prophylactic </w:t>
      </w:r>
      <w:r w:rsidR="00353792" w:rsidRPr="00BF60A7">
        <w:rPr>
          <w:rFonts w:ascii="Times New Roman" w:hAnsi="Times New Roman" w:cs="Times New Roman"/>
        </w:rPr>
        <w:t>anti-</w:t>
      </w:r>
      <w:r w:rsidR="00BD03F7" w:rsidRPr="00BF60A7">
        <w:rPr>
          <w:rFonts w:ascii="Times New Roman" w:hAnsi="Times New Roman" w:cs="Times New Roman"/>
        </w:rPr>
        <w:t>seizure</w:t>
      </w:r>
      <w:r w:rsidR="00353792" w:rsidRPr="00BF60A7">
        <w:rPr>
          <w:rFonts w:ascii="Times New Roman" w:hAnsi="Times New Roman" w:cs="Times New Roman"/>
        </w:rPr>
        <w:t xml:space="preserve"> </w:t>
      </w:r>
      <w:r w:rsidR="00BD03F7" w:rsidRPr="00BF60A7">
        <w:rPr>
          <w:rFonts w:ascii="Times New Roman" w:hAnsi="Times New Roman" w:cs="Times New Roman"/>
        </w:rPr>
        <w:t xml:space="preserve">drugs (ASDs) for 7 days </w:t>
      </w:r>
      <w:r w:rsidR="00353792" w:rsidRPr="00BF60A7">
        <w:rPr>
          <w:rFonts w:ascii="Times New Roman" w:hAnsi="Times New Roman" w:cs="Times New Roman"/>
        </w:rPr>
        <w:t>without a thorough understanding of whether AEDs in this situation are actually beneficial</w:t>
      </w:r>
      <w:r w:rsidR="008D6EDC" w:rsidRPr="00BF60A7">
        <w:rPr>
          <w:rFonts w:ascii="Times New Roman" w:hAnsi="Times New Roman" w:cs="Times New Roman"/>
        </w:rPr>
        <w:t xml:space="preserve"> – actually, they may be </w:t>
      </w:r>
      <w:r w:rsidR="002419E1" w:rsidRPr="00BF60A7">
        <w:rPr>
          <w:rFonts w:ascii="Times New Roman" w:hAnsi="Times New Roman" w:cs="Times New Roman"/>
        </w:rPr>
        <w:t xml:space="preserve">detrimental. </w:t>
      </w:r>
      <w:r w:rsidR="00A9702A">
        <w:rPr>
          <w:rFonts w:ascii="Times New Roman" w:hAnsi="Times New Roman" w:cs="Times New Roman"/>
        </w:rPr>
        <w:t xml:space="preserve">The reason this is the case is because most seizures in the ICU setting are </w:t>
      </w:r>
      <w:r w:rsidR="00582A96" w:rsidRPr="005D3ABB">
        <w:rPr>
          <w:rFonts w:ascii="Times New Roman" w:hAnsi="Times New Roman" w:cs="Times New Roman"/>
        </w:rPr>
        <w:t>observe</w:t>
      </w:r>
      <w:r w:rsidR="00127AC7" w:rsidRPr="005D3ABB">
        <w:rPr>
          <w:rFonts w:ascii="Times New Roman" w:hAnsi="Times New Roman" w:cs="Times New Roman"/>
        </w:rPr>
        <w:t>d</w:t>
      </w:r>
      <w:r w:rsidR="00582A96">
        <w:rPr>
          <w:rFonts w:ascii="Times New Roman" w:hAnsi="Times New Roman" w:cs="Times New Roman"/>
        </w:rPr>
        <w:t xml:space="preserve"> </w:t>
      </w:r>
      <w:r w:rsidR="00A9702A">
        <w:rPr>
          <w:rFonts w:ascii="Times New Roman" w:hAnsi="Times New Roman" w:cs="Times New Roman"/>
        </w:rPr>
        <w:t>seizures</w:t>
      </w:r>
      <w:r w:rsidR="00582A96">
        <w:rPr>
          <w:rFonts w:ascii="Times New Roman" w:hAnsi="Times New Roman" w:cs="Times New Roman"/>
        </w:rPr>
        <w:t>. This w</w:t>
      </w:r>
      <w:r w:rsidR="00A9702A">
        <w:rPr>
          <w:rFonts w:ascii="Times New Roman" w:hAnsi="Times New Roman" w:cs="Times New Roman"/>
        </w:rPr>
        <w:t>ill</w:t>
      </w:r>
      <w:r w:rsidR="00582A96">
        <w:rPr>
          <w:rFonts w:ascii="Times New Roman" w:hAnsi="Times New Roman" w:cs="Times New Roman"/>
        </w:rPr>
        <w:t xml:space="preserve"> enable us to better understand </w:t>
      </w:r>
      <w:r w:rsidR="00A9702A">
        <w:rPr>
          <w:rFonts w:ascii="Times New Roman" w:hAnsi="Times New Roman" w:cs="Times New Roman"/>
        </w:rPr>
        <w:t xml:space="preserve">whether ASDs are </w:t>
      </w:r>
      <w:r w:rsidR="00582A96">
        <w:rPr>
          <w:rFonts w:ascii="Times New Roman" w:hAnsi="Times New Roman" w:cs="Times New Roman"/>
        </w:rPr>
        <w:t xml:space="preserve">actually </w:t>
      </w:r>
      <w:r w:rsidR="00A9702A">
        <w:rPr>
          <w:rFonts w:ascii="Times New Roman" w:hAnsi="Times New Roman" w:cs="Times New Roman"/>
        </w:rPr>
        <w:t xml:space="preserve">beneficial in the long-term to prevent seizures in patients with TBI. </w:t>
      </w:r>
    </w:p>
    <w:p w14:paraId="790AF20B" w14:textId="77777777" w:rsidR="00A9702A" w:rsidRDefault="00A9702A" w:rsidP="00AE5847">
      <w:pPr>
        <w:spacing w:after="0" w:line="240" w:lineRule="auto"/>
        <w:ind w:firstLine="720"/>
        <w:rPr>
          <w:rFonts w:ascii="Times New Roman" w:hAnsi="Times New Roman" w:cs="Times New Roman"/>
        </w:rPr>
      </w:pPr>
    </w:p>
    <w:p w14:paraId="33F491EC" w14:textId="77777777" w:rsidR="00AE5847" w:rsidRPr="00BF60A7" w:rsidRDefault="00AE5847" w:rsidP="00DC4CA7">
      <w:pPr>
        <w:spacing w:after="0" w:line="240" w:lineRule="auto"/>
        <w:rPr>
          <w:rFonts w:ascii="Times New Roman" w:hAnsi="Times New Roman" w:cs="Times New Roman"/>
        </w:rPr>
      </w:pPr>
    </w:p>
    <w:p w14:paraId="488EE360" w14:textId="77777777" w:rsidR="00AE5847" w:rsidRPr="00B23FEC" w:rsidRDefault="00AE5847" w:rsidP="00AE5847">
      <w:pPr>
        <w:rPr>
          <w:rFonts w:ascii="Times New Roman" w:hAnsi="Times New Roman" w:cs="Times New Roman"/>
          <w:b/>
        </w:rPr>
      </w:pPr>
      <w:r w:rsidRPr="00B23FEC">
        <w:rPr>
          <w:rFonts w:ascii="Times New Roman" w:hAnsi="Times New Roman" w:cs="Times New Roman"/>
          <w:b/>
        </w:rPr>
        <w:t xml:space="preserve">References </w:t>
      </w:r>
    </w:p>
    <w:p w14:paraId="2CB5AF25" w14:textId="77777777" w:rsidR="00AE5847" w:rsidRPr="00B23FEC" w:rsidRDefault="00AE5847" w:rsidP="00AE5847">
      <w:pPr>
        <w:rPr>
          <w:rFonts w:ascii="Times New Roman" w:hAnsi="Times New Roman" w:cs="Times New Roman"/>
        </w:rPr>
      </w:pPr>
      <w:r w:rsidRPr="00B23FEC">
        <w:rPr>
          <w:rFonts w:ascii="Times New Roman" w:hAnsi="Times New Roman" w:cs="Times New Roman"/>
        </w:rPr>
        <w:t xml:space="preserve">Ghajar J (2000) Traumatic brain injury, 356: 923–929. </w:t>
      </w:r>
    </w:p>
    <w:p w14:paraId="510CED0A" w14:textId="77777777" w:rsidR="00AE5847" w:rsidRPr="00B23FEC" w:rsidRDefault="00AE5847" w:rsidP="00AE5847">
      <w:pPr>
        <w:spacing w:line="240" w:lineRule="auto"/>
        <w:rPr>
          <w:rFonts w:ascii="Times New Roman" w:hAnsi="Times New Roman" w:cs="Times New Roman"/>
        </w:rPr>
      </w:pPr>
      <w:r w:rsidRPr="00B23FEC">
        <w:rPr>
          <w:rFonts w:ascii="Times New Roman" w:hAnsi="Times New Roman" w:cs="Times New Roman"/>
        </w:rPr>
        <w:t xml:space="preserve">Greenwald BD, Burnett DM, Miller MA (2003) Congenital and acquired brain injury. 1. Brain injury: epidemiology and pathophysiology. Arch Phys Med Rehabil. 84(3 Suppl 1):S3-7. </w:t>
      </w:r>
    </w:p>
    <w:p w14:paraId="77EE8739" w14:textId="77777777" w:rsidR="00AE5847" w:rsidRPr="00B23FEC" w:rsidRDefault="00AE5847" w:rsidP="00AE5847">
      <w:pPr>
        <w:spacing w:line="240" w:lineRule="auto"/>
        <w:rPr>
          <w:rFonts w:ascii="Times New Roman" w:hAnsi="Times New Roman" w:cs="Times New Roman"/>
        </w:rPr>
      </w:pPr>
      <w:r w:rsidRPr="00B23FEC">
        <w:rPr>
          <w:rFonts w:ascii="Times New Roman" w:hAnsi="Times New Roman" w:cs="Times New Roman"/>
        </w:rPr>
        <w:t xml:space="preserve">Chauhan NB (2014) Chronic neurodegenerative consequences of traumatic brain injury. Restor Neurol Neurosci. 32:337-365. </w:t>
      </w:r>
    </w:p>
    <w:p w14:paraId="14C699CF" w14:textId="77777777" w:rsidR="00AE5847" w:rsidRPr="00B23FEC" w:rsidRDefault="00AE5847" w:rsidP="00AE5847">
      <w:pPr>
        <w:spacing w:line="240" w:lineRule="auto"/>
        <w:rPr>
          <w:rFonts w:ascii="Times New Roman" w:hAnsi="Times New Roman" w:cs="Times New Roman"/>
          <w:highlight w:val="yellow"/>
        </w:rPr>
      </w:pPr>
      <w:r w:rsidRPr="00B23FEC">
        <w:rPr>
          <w:rFonts w:ascii="Times New Roman" w:hAnsi="Times New Roman" w:cs="Times New Roman"/>
        </w:rPr>
        <w:t xml:space="preserve">Wortzel HS, Arciniegas DB (2014) The DSM-5 approach to the evaluation of traumatic brain injury and its neuropsychiatric sequelae. NeuroRehabilitation. 34:613-623. </w:t>
      </w:r>
    </w:p>
    <w:p w14:paraId="220756AB" w14:textId="77777777" w:rsidR="006D2A6C" w:rsidRDefault="00AE5847" w:rsidP="00AE5847">
      <w:pPr>
        <w:rPr>
          <w:rFonts w:ascii="Times New Roman" w:hAnsi="Times New Roman" w:cs="Times New Roman"/>
        </w:rPr>
      </w:pPr>
      <w:r w:rsidRPr="00B23FEC">
        <w:rPr>
          <w:rFonts w:ascii="Times New Roman" w:hAnsi="Times New Roman" w:cs="Times New Roman"/>
        </w:rPr>
        <w:t>Frey LC (2003) Epidemiology of posttraumatic epilepsy: a critical review. Epilepsia 44 Suppl 10:11-7.</w:t>
      </w:r>
    </w:p>
    <w:p w14:paraId="0E94A801" w14:textId="77777777" w:rsidR="006D2A6C" w:rsidRDefault="006D2A6C" w:rsidP="006D2A6C">
      <w:pPr>
        <w:spacing w:line="240" w:lineRule="auto"/>
        <w:rPr>
          <w:rFonts w:ascii="Times New Roman" w:hAnsi="Times New Roman" w:cs="Times New Roman"/>
        </w:rPr>
      </w:pPr>
      <w:r w:rsidRPr="00BA7CE0">
        <w:rPr>
          <w:rFonts w:ascii="Times New Roman" w:hAnsi="Times New Roman" w:cs="Times New Roman"/>
        </w:rPr>
        <w:t xml:space="preserve">Annegers JF, Grabow JD, Groover RV, Laws ER Jr, Elveback LR, Kurland LT (1980) Seizures after </w:t>
      </w:r>
      <w:r>
        <w:rPr>
          <w:rFonts w:ascii="Times New Roman" w:hAnsi="Times New Roman" w:cs="Times New Roman"/>
        </w:rPr>
        <w:t>head trauma: a population study 30</w:t>
      </w:r>
      <w:r w:rsidRPr="00BA7CE0">
        <w:rPr>
          <w:rFonts w:ascii="Times New Roman" w:hAnsi="Times New Roman" w:cs="Times New Roman"/>
        </w:rPr>
        <w:t>:683-</w:t>
      </w:r>
      <w:r>
        <w:rPr>
          <w:rFonts w:ascii="Times New Roman" w:hAnsi="Times New Roman" w:cs="Times New Roman"/>
        </w:rPr>
        <w:t>68</w:t>
      </w:r>
      <w:r w:rsidRPr="00BA7CE0">
        <w:rPr>
          <w:rFonts w:ascii="Times New Roman" w:hAnsi="Times New Roman" w:cs="Times New Roman"/>
        </w:rPr>
        <w:t>9.</w:t>
      </w:r>
    </w:p>
    <w:p w14:paraId="77FDE595" w14:textId="77777777" w:rsidR="00130A72" w:rsidRPr="00B23FEC" w:rsidRDefault="00130A72" w:rsidP="00130A72">
      <w:pPr>
        <w:rPr>
          <w:rFonts w:ascii="Times New Roman" w:hAnsi="Times New Roman" w:cs="Times New Roman"/>
        </w:rPr>
      </w:pPr>
      <w:r>
        <w:rPr>
          <w:rFonts w:ascii="Times New Roman" w:hAnsi="Times New Roman" w:cs="Times New Roman"/>
        </w:rPr>
        <w:t>Iudice A</w:t>
      </w:r>
      <w:r w:rsidRPr="00130A72">
        <w:rPr>
          <w:rFonts w:ascii="Times New Roman" w:hAnsi="Times New Roman" w:cs="Times New Roman"/>
        </w:rPr>
        <w:t>, Murri L</w:t>
      </w:r>
      <w:r>
        <w:rPr>
          <w:rFonts w:ascii="Times New Roman" w:hAnsi="Times New Roman" w:cs="Times New Roman"/>
        </w:rPr>
        <w:t xml:space="preserve"> (2000) </w:t>
      </w:r>
      <w:r w:rsidRPr="00130A72">
        <w:rPr>
          <w:rFonts w:ascii="Times New Roman" w:hAnsi="Times New Roman" w:cs="Times New Roman"/>
        </w:rPr>
        <w:t>Pharmacological prophyl</w:t>
      </w:r>
      <w:r>
        <w:rPr>
          <w:rFonts w:ascii="Times New Roman" w:hAnsi="Times New Roman" w:cs="Times New Roman"/>
        </w:rPr>
        <w:t>axis of post-traumatic e</w:t>
      </w:r>
      <w:r w:rsidR="000D274D">
        <w:rPr>
          <w:rFonts w:ascii="Times New Roman" w:hAnsi="Times New Roman" w:cs="Times New Roman"/>
        </w:rPr>
        <w:t>pilepsy. Drugs</w:t>
      </w:r>
      <w:r>
        <w:rPr>
          <w:rFonts w:ascii="Times New Roman" w:hAnsi="Times New Roman" w:cs="Times New Roman"/>
        </w:rPr>
        <w:t xml:space="preserve"> 59:1091-1099.</w:t>
      </w:r>
    </w:p>
    <w:p w14:paraId="625D804F" w14:textId="77777777" w:rsidR="006E2373" w:rsidRDefault="00AE5847" w:rsidP="00AE5847">
      <w:pPr>
        <w:spacing w:line="240" w:lineRule="auto"/>
        <w:rPr>
          <w:rFonts w:ascii="Times New Roman" w:hAnsi="Times New Roman" w:cs="Times New Roman"/>
        </w:rPr>
      </w:pPr>
      <w:r w:rsidRPr="00B23FEC">
        <w:rPr>
          <w:rFonts w:ascii="Times New Roman" w:hAnsi="Times New Roman" w:cs="Times New Roman"/>
        </w:rPr>
        <w:t>Haltiner AM, Temkin NR, Dikmen SS (1997) Risk of seizure recurrence after the first late posttraumatic seizure. Arch Phys Med Rehabil. 78:835-840.</w:t>
      </w:r>
    </w:p>
    <w:p w14:paraId="38104837" w14:textId="77777777" w:rsidR="006E2373" w:rsidRPr="00B23FEC" w:rsidRDefault="006E2373" w:rsidP="00AE5847">
      <w:pPr>
        <w:spacing w:line="240" w:lineRule="auto"/>
        <w:rPr>
          <w:rFonts w:ascii="Times New Roman" w:hAnsi="Times New Roman" w:cs="Times New Roman"/>
        </w:rPr>
      </w:pPr>
      <w:r>
        <w:rPr>
          <w:rFonts w:ascii="Times New Roman" w:hAnsi="Times New Roman" w:cs="Times New Roman"/>
        </w:rPr>
        <w:t>Temkin NR</w:t>
      </w:r>
      <w:r w:rsidRPr="006E2373">
        <w:rPr>
          <w:rFonts w:ascii="Times New Roman" w:hAnsi="Times New Roman" w:cs="Times New Roman"/>
        </w:rPr>
        <w:t>, Dikmen SS, Wilensky</w:t>
      </w:r>
      <w:r>
        <w:rPr>
          <w:rFonts w:ascii="Times New Roman" w:hAnsi="Times New Roman" w:cs="Times New Roman"/>
        </w:rPr>
        <w:t xml:space="preserve"> AJ, Keihm J, Chabal S, Winn HR (1990) </w:t>
      </w:r>
      <w:r w:rsidRPr="006E2373">
        <w:rPr>
          <w:rFonts w:ascii="Times New Roman" w:hAnsi="Times New Roman" w:cs="Times New Roman"/>
        </w:rPr>
        <w:t>A randomized, double-blind study of phenytoin for the prevention of post-traumatic seizures. N Engl J Med.323:497-502</w:t>
      </w:r>
      <w:r>
        <w:rPr>
          <w:rFonts w:ascii="Times New Roman" w:hAnsi="Times New Roman" w:cs="Times New Roman"/>
        </w:rPr>
        <w:t xml:space="preserve">. </w:t>
      </w:r>
    </w:p>
    <w:p w14:paraId="63AF46F0" w14:textId="77777777" w:rsidR="00AE5847" w:rsidRPr="00B23FEC" w:rsidRDefault="00AE5847" w:rsidP="00AE5847">
      <w:pPr>
        <w:spacing w:line="240" w:lineRule="auto"/>
        <w:rPr>
          <w:rFonts w:ascii="Times New Roman" w:hAnsi="Times New Roman" w:cs="Times New Roman"/>
        </w:rPr>
      </w:pPr>
      <w:r w:rsidRPr="00B23FEC">
        <w:rPr>
          <w:rFonts w:ascii="Times New Roman" w:hAnsi="Times New Roman" w:cs="Times New Roman"/>
        </w:rPr>
        <w:t xml:space="preserve">Teasell R, Bayona N, Lippert C, Villamere J, Hellings C (2007) Post-traumatic seizure disorder following acquired brain injury Brain Injury 21: 201–214. </w:t>
      </w:r>
    </w:p>
    <w:p w14:paraId="564140AD" w14:textId="77777777" w:rsidR="00AE5847" w:rsidRPr="00B23FEC" w:rsidRDefault="00AE5847" w:rsidP="00AE5847">
      <w:pPr>
        <w:spacing w:line="240" w:lineRule="auto"/>
        <w:rPr>
          <w:rFonts w:ascii="Times New Roman" w:hAnsi="Times New Roman" w:cs="Times New Roman"/>
        </w:rPr>
      </w:pPr>
      <w:r w:rsidRPr="00B23FEC">
        <w:rPr>
          <w:rFonts w:ascii="Times New Roman" w:hAnsi="Times New Roman" w:cs="Times New Roman"/>
        </w:rPr>
        <w:t xml:space="preserve">Maas AI, Stocchetti N, Bullock R (2008) Moderate and severe traumatic brain injury in adults. Lancet Neurol. 7:728-741. </w:t>
      </w:r>
    </w:p>
    <w:p w14:paraId="205AFE5F" w14:textId="77777777" w:rsidR="00AE5847" w:rsidRPr="00B23FEC" w:rsidRDefault="00AE5847" w:rsidP="00AE5847">
      <w:pPr>
        <w:spacing w:line="240" w:lineRule="auto"/>
        <w:rPr>
          <w:rFonts w:ascii="Times New Roman" w:hAnsi="Times New Roman" w:cs="Times New Roman"/>
        </w:rPr>
      </w:pPr>
      <w:r w:rsidRPr="00B23FEC">
        <w:rPr>
          <w:rFonts w:ascii="Times New Roman" w:hAnsi="Times New Roman" w:cs="Times New Roman"/>
        </w:rPr>
        <w:t xml:space="preserve">Zink BJ (2001) Traumatic brain injury outcome: concepts for emergency care. Ann Emerg Med. 37:318-332. </w:t>
      </w:r>
    </w:p>
    <w:p w14:paraId="5DDD4DF7" w14:textId="77777777" w:rsidR="00AE5847" w:rsidRPr="00B23FEC" w:rsidRDefault="00AE5847" w:rsidP="00AE5847">
      <w:pPr>
        <w:spacing w:line="240" w:lineRule="auto"/>
        <w:rPr>
          <w:rFonts w:ascii="Times New Roman" w:hAnsi="Times New Roman" w:cs="Times New Roman"/>
        </w:rPr>
      </w:pPr>
      <w:r w:rsidRPr="00B23FEC">
        <w:rPr>
          <w:rFonts w:ascii="Times New Roman" w:hAnsi="Times New Roman" w:cs="Times New Roman"/>
        </w:rPr>
        <w:t>Narayan RK, Michel ME, Ansell B, Baethmann A, Biegon A, Bracken MB, Bullock MR, Choi SC, Clifton GL, Contant CF, Coplin WM, Dietrich WD, Ghajar J, Grady SM, Grossman RG, Hall ED, Heetderks W, Hovda DA, Jallo J, Katz RL, Knoller N, Kochanek PM, Maas AI, Majde J, Marion DW, Marmarou A, Marshall LF, McIntosh TK, Miller E, Mohberg N, Muizelaar JP, Pitts LH, Quinn P, Riesenfeld G, Robertson CS, Strauss KI, Teasdale G, Temkin N, Tuma R, Wade C, Walker MD, Weinrich M, Whyte J, Wilberger J, Young AB, Yurkewicz L</w:t>
      </w:r>
      <w:r>
        <w:rPr>
          <w:rFonts w:ascii="Times New Roman" w:hAnsi="Times New Roman" w:cs="Times New Roman"/>
        </w:rPr>
        <w:t xml:space="preserve"> (2002) </w:t>
      </w:r>
      <w:r w:rsidRPr="00B23FEC">
        <w:rPr>
          <w:rFonts w:ascii="Times New Roman" w:hAnsi="Times New Roman" w:cs="Times New Roman"/>
        </w:rPr>
        <w:t xml:space="preserve">Clinical trials in head injury. J Neurotrauma. </w:t>
      </w:r>
      <w:r>
        <w:rPr>
          <w:rFonts w:ascii="Times New Roman" w:hAnsi="Times New Roman" w:cs="Times New Roman"/>
        </w:rPr>
        <w:t>19</w:t>
      </w:r>
      <w:r w:rsidRPr="00B23FEC">
        <w:rPr>
          <w:rFonts w:ascii="Times New Roman" w:hAnsi="Times New Roman" w:cs="Times New Roman"/>
        </w:rPr>
        <w:t>:503-</w:t>
      </w:r>
      <w:r>
        <w:rPr>
          <w:rFonts w:ascii="Times New Roman" w:hAnsi="Times New Roman" w:cs="Times New Roman"/>
        </w:rPr>
        <w:t>5</w:t>
      </w:r>
      <w:r w:rsidRPr="00B23FEC">
        <w:rPr>
          <w:rFonts w:ascii="Times New Roman" w:hAnsi="Times New Roman" w:cs="Times New Roman"/>
        </w:rPr>
        <w:t>57.</w:t>
      </w:r>
    </w:p>
    <w:p w14:paraId="0E04D333" w14:textId="77777777" w:rsidR="00AE5847" w:rsidRPr="00B23FEC" w:rsidRDefault="00AE5847" w:rsidP="00AE5847">
      <w:pPr>
        <w:spacing w:line="240" w:lineRule="auto"/>
        <w:rPr>
          <w:rFonts w:ascii="Times New Roman" w:hAnsi="Times New Roman" w:cs="Times New Roman"/>
        </w:rPr>
      </w:pPr>
      <w:r w:rsidRPr="00E259C0">
        <w:rPr>
          <w:rFonts w:ascii="Times New Roman" w:hAnsi="Times New Roman" w:cs="Times New Roman"/>
        </w:rPr>
        <w:t>Meyer K</w:t>
      </w:r>
      <w:r>
        <w:rPr>
          <w:rFonts w:ascii="Times New Roman" w:hAnsi="Times New Roman" w:cs="Times New Roman"/>
        </w:rPr>
        <w:t xml:space="preserve">, Helmick K, Doncevic S, Park R (2008) </w:t>
      </w:r>
      <w:r w:rsidRPr="00E259C0">
        <w:rPr>
          <w:rFonts w:ascii="Times New Roman" w:hAnsi="Times New Roman" w:cs="Times New Roman"/>
        </w:rPr>
        <w:t xml:space="preserve">Severe and penetrating traumatic brain injury in the context of war. J Trauma Nurs. </w:t>
      </w:r>
      <w:r>
        <w:rPr>
          <w:rFonts w:ascii="Times New Roman" w:hAnsi="Times New Roman" w:cs="Times New Roman"/>
        </w:rPr>
        <w:t>15</w:t>
      </w:r>
      <w:r w:rsidRPr="00E259C0">
        <w:rPr>
          <w:rFonts w:ascii="Times New Roman" w:hAnsi="Times New Roman" w:cs="Times New Roman"/>
        </w:rPr>
        <w:t>:185-</w:t>
      </w:r>
      <w:r>
        <w:rPr>
          <w:rFonts w:ascii="Times New Roman" w:hAnsi="Times New Roman" w:cs="Times New Roman"/>
        </w:rPr>
        <w:t>18</w:t>
      </w:r>
      <w:r w:rsidRPr="00E259C0">
        <w:rPr>
          <w:rFonts w:ascii="Times New Roman" w:hAnsi="Times New Roman" w:cs="Times New Roman"/>
        </w:rPr>
        <w:t>9</w:t>
      </w:r>
      <w:r>
        <w:rPr>
          <w:rFonts w:ascii="Times New Roman" w:hAnsi="Times New Roman" w:cs="Times New Roman"/>
        </w:rPr>
        <w:t xml:space="preserve">. </w:t>
      </w:r>
    </w:p>
    <w:p w14:paraId="6A271687" w14:textId="77777777" w:rsidR="00AE5847" w:rsidRPr="00B23FEC" w:rsidRDefault="00AE5847" w:rsidP="00AE5847">
      <w:pPr>
        <w:rPr>
          <w:rFonts w:ascii="Times New Roman" w:hAnsi="Times New Roman" w:cs="Times New Roman"/>
        </w:rPr>
      </w:pPr>
      <w:r>
        <w:rPr>
          <w:rFonts w:ascii="Times New Roman" w:hAnsi="Times New Roman" w:cs="Times New Roman"/>
        </w:rPr>
        <w:t xml:space="preserve">D'Ambrosio R, Perucca E (2004) </w:t>
      </w:r>
      <w:r w:rsidRPr="00BA7CE0">
        <w:rPr>
          <w:rFonts w:ascii="Times New Roman" w:hAnsi="Times New Roman" w:cs="Times New Roman"/>
        </w:rPr>
        <w:t xml:space="preserve">Epilepsy after head injury. </w:t>
      </w:r>
      <w:r>
        <w:rPr>
          <w:rFonts w:ascii="Times New Roman" w:hAnsi="Times New Roman" w:cs="Times New Roman"/>
        </w:rPr>
        <w:t>Curr Opin Neurol. 17</w:t>
      </w:r>
      <w:r w:rsidRPr="00BA7CE0">
        <w:rPr>
          <w:rFonts w:ascii="Times New Roman" w:hAnsi="Times New Roman" w:cs="Times New Roman"/>
        </w:rPr>
        <w:t>:731-</w:t>
      </w:r>
      <w:r>
        <w:rPr>
          <w:rFonts w:ascii="Times New Roman" w:hAnsi="Times New Roman" w:cs="Times New Roman"/>
        </w:rPr>
        <w:t>73</w:t>
      </w:r>
      <w:r w:rsidRPr="00BA7CE0">
        <w:rPr>
          <w:rFonts w:ascii="Times New Roman" w:hAnsi="Times New Roman" w:cs="Times New Roman"/>
        </w:rPr>
        <w:t>5.</w:t>
      </w:r>
    </w:p>
    <w:p w14:paraId="7898326C" w14:textId="77777777" w:rsidR="00AE5847" w:rsidRPr="00B23FEC" w:rsidRDefault="00AE5847" w:rsidP="00AE5847">
      <w:pPr>
        <w:rPr>
          <w:rFonts w:ascii="Times New Roman" w:hAnsi="Times New Roman" w:cs="Times New Roman"/>
        </w:rPr>
      </w:pPr>
      <w:r w:rsidRPr="00BA7CE0">
        <w:rPr>
          <w:rFonts w:ascii="Times New Roman" w:hAnsi="Times New Roman" w:cs="Times New Roman"/>
        </w:rPr>
        <w:t>Annegers J, Coan SP (2000) The risks of epilepsy after traumatic brain injury. S</w:t>
      </w:r>
      <w:r>
        <w:rPr>
          <w:rFonts w:ascii="Times New Roman" w:hAnsi="Times New Roman" w:cs="Times New Roman"/>
        </w:rPr>
        <w:t xml:space="preserve">eizure </w:t>
      </w:r>
      <w:r w:rsidRPr="00BA7CE0">
        <w:rPr>
          <w:rFonts w:ascii="Times New Roman" w:hAnsi="Times New Roman" w:cs="Times New Roman"/>
        </w:rPr>
        <w:t>7:453-</w:t>
      </w:r>
      <w:r>
        <w:rPr>
          <w:rFonts w:ascii="Times New Roman" w:hAnsi="Times New Roman" w:cs="Times New Roman"/>
        </w:rPr>
        <w:t>45</w:t>
      </w:r>
      <w:r w:rsidRPr="00BA7CE0">
        <w:rPr>
          <w:rFonts w:ascii="Times New Roman" w:hAnsi="Times New Roman" w:cs="Times New Roman"/>
        </w:rPr>
        <w:t>7.</w:t>
      </w:r>
    </w:p>
    <w:p w14:paraId="01D36355" w14:textId="77777777" w:rsidR="00AE5847" w:rsidRPr="00B23FEC" w:rsidRDefault="00AE5847" w:rsidP="00AE5847">
      <w:pPr>
        <w:spacing w:line="240" w:lineRule="auto"/>
        <w:rPr>
          <w:rFonts w:ascii="Times New Roman" w:hAnsi="Times New Roman" w:cs="Times New Roman"/>
        </w:rPr>
      </w:pPr>
      <w:r w:rsidRPr="0043190F">
        <w:rPr>
          <w:rFonts w:ascii="Times New Roman" w:hAnsi="Times New Roman" w:cs="Times New Roman"/>
        </w:rPr>
        <w:t xml:space="preserve">Beghi E, Carpio A, Forsgren L, Hesdorffer DC, Malmgren K, Sander JW, Tomson T, Hauser </w:t>
      </w:r>
      <w:r>
        <w:rPr>
          <w:rFonts w:ascii="Times New Roman" w:hAnsi="Times New Roman" w:cs="Times New Roman"/>
        </w:rPr>
        <w:t xml:space="preserve">WA (2010) </w:t>
      </w:r>
      <w:r w:rsidRPr="0043190F">
        <w:rPr>
          <w:rFonts w:ascii="Times New Roman" w:hAnsi="Times New Roman" w:cs="Times New Roman"/>
        </w:rPr>
        <w:t>Recommendation for a definition of acute symptomatic seizure.</w:t>
      </w:r>
      <w:r>
        <w:rPr>
          <w:rFonts w:ascii="Times New Roman" w:hAnsi="Times New Roman" w:cs="Times New Roman"/>
        </w:rPr>
        <w:t xml:space="preserve"> Epilepsia </w:t>
      </w:r>
      <w:r w:rsidRPr="0043190F">
        <w:rPr>
          <w:rFonts w:ascii="Times New Roman" w:hAnsi="Times New Roman" w:cs="Times New Roman"/>
        </w:rPr>
        <w:t>51:671-</w:t>
      </w:r>
      <w:r>
        <w:rPr>
          <w:rFonts w:ascii="Times New Roman" w:hAnsi="Times New Roman" w:cs="Times New Roman"/>
        </w:rPr>
        <w:t>67</w:t>
      </w:r>
      <w:r w:rsidRPr="0043190F">
        <w:rPr>
          <w:rFonts w:ascii="Times New Roman" w:hAnsi="Times New Roman" w:cs="Times New Roman"/>
        </w:rPr>
        <w:t>5</w:t>
      </w:r>
    </w:p>
    <w:p w14:paraId="25965E5D" w14:textId="77777777" w:rsidR="00AE5847" w:rsidRPr="00B23FEC" w:rsidRDefault="00AE5847" w:rsidP="00AE5847">
      <w:pPr>
        <w:spacing w:line="240" w:lineRule="auto"/>
        <w:rPr>
          <w:rFonts w:ascii="Times New Roman" w:hAnsi="Times New Roman" w:cs="Times New Roman"/>
        </w:rPr>
      </w:pPr>
      <w:r w:rsidRPr="0043190F">
        <w:rPr>
          <w:rFonts w:ascii="Times New Roman" w:hAnsi="Times New Roman" w:cs="Times New Roman"/>
        </w:rPr>
        <w:t xml:space="preserve">Jabbari B, Prokhorenko O, Khajavi K, Mena H (2002) Intractable epilepsy and mild brain injury: incidence, pathology and surgical outcome. </w:t>
      </w:r>
      <w:r>
        <w:rPr>
          <w:rFonts w:ascii="Times New Roman" w:hAnsi="Times New Roman" w:cs="Times New Roman"/>
        </w:rPr>
        <w:t>Brain Inj. 16</w:t>
      </w:r>
      <w:r w:rsidRPr="0043190F">
        <w:rPr>
          <w:rFonts w:ascii="Times New Roman" w:hAnsi="Times New Roman" w:cs="Times New Roman"/>
        </w:rPr>
        <w:t>:463-</w:t>
      </w:r>
      <w:r>
        <w:rPr>
          <w:rFonts w:ascii="Times New Roman" w:hAnsi="Times New Roman" w:cs="Times New Roman"/>
        </w:rPr>
        <w:t>46</w:t>
      </w:r>
      <w:r w:rsidRPr="0043190F">
        <w:rPr>
          <w:rFonts w:ascii="Times New Roman" w:hAnsi="Times New Roman" w:cs="Times New Roman"/>
        </w:rPr>
        <w:t>7.</w:t>
      </w:r>
    </w:p>
    <w:p w14:paraId="14AEEF41" w14:textId="77777777" w:rsidR="00AE5847" w:rsidRPr="00B23FEC" w:rsidRDefault="00AE5847" w:rsidP="00AE5847">
      <w:pPr>
        <w:spacing w:line="240" w:lineRule="auto"/>
        <w:rPr>
          <w:rFonts w:ascii="Times New Roman" w:hAnsi="Times New Roman" w:cs="Times New Roman"/>
        </w:rPr>
      </w:pPr>
      <w:r w:rsidRPr="00BA0F2B">
        <w:rPr>
          <w:rFonts w:ascii="Times New Roman" w:hAnsi="Times New Roman" w:cs="Times New Roman"/>
        </w:rPr>
        <w:t xml:space="preserve">Lowenstein DH (2011) Interview: the National Institute of Neurological Diseases and Stroke/American Epilepsy Society benchmarks and research priorities for epilepsy research. </w:t>
      </w:r>
      <w:r>
        <w:rPr>
          <w:rFonts w:ascii="Times New Roman" w:hAnsi="Times New Roman" w:cs="Times New Roman"/>
        </w:rPr>
        <w:t xml:space="preserve">Biomark Med. </w:t>
      </w:r>
      <w:r w:rsidRPr="00BA0F2B">
        <w:rPr>
          <w:rFonts w:ascii="Times New Roman" w:hAnsi="Times New Roman" w:cs="Times New Roman"/>
        </w:rPr>
        <w:t xml:space="preserve">5:531-535. </w:t>
      </w:r>
    </w:p>
    <w:p w14:paraId="161D5673" w14:textId="77777777" w:rsidR="00AE5847" w:rsidRPr="00BA0F2B" w:rsidRDefault="00AE5847" w:rsidP="00AE5847">
      <w:pPr>
        <w:spacing w:line="240" w:lineRule="auto"/>
        <w:rPr>
          <w:rFonts w:ascii="Times New Roman" w:hAnsi="Times New Roman" w:cs="Times New Roman"/>
          <w:highlight w:val="yellow"/>
        </w:rPr>
      </w:pPr>
      <w:r w:rsidRPr="00BA0F2B">
        <w:rPr>
          <w:rFonts w:ascii="Times New Roman" w:hAnsi="Times New Roman" w:cs="Times New Roman"/>
        </w:rPr>
        <w:t>Haddad SH, Arabi YM (2012) Critical care management of severe traumatic brain injury in adults. Scand J Trauma Resusc Emerg Med. 3</w:t>
      </w:r>
      <w:r w:rsidR="000D274D" w:rsidRPr="00BA0F2B">
        <w:rPr>
          <w:rFonts w:ascii="Times New Roman" w:hAnsi="Times New Roman" w:cs="Times New Roman"/>
        </w:rPr>
        <w:t>; 20:12</w:t>
      </w:r>
      <w:r w:rsidRPr="00BA0F2B">
        <w:rPr>
          <w:rFonts w:ascii="Times New Roman" w:hAnsi="Times New Roman" w:cs="Times New Roman"/>
        </w:rPr>
        <w:t xml:space="preserve">. </w:t>
      </w:r>
    </w:p>
    <w:p w14:paraId="7E8A3857" w14:textId="77777777" w:rsidR="00AE5847" w:rsidRPr="00B23FEC" w:rsidRDefault="00AE5847" w:rsidP="00AE5847">
      <w:pPr>
        <w:spacing w:line="240" w:lineRule="auto"/>
        <w:rPr>
          <w:rFonts w:ascii="Times New Roman" w:hAnsi="Times New Roman" w:cs="Times New Roman"/>
        </w:rPr>
      </w:pPr>
      <w:r w:rsidRPr="00BA0F2B">
        <w:rPr>
          <w:rFonts w:ascii="Times New Roman" w:hAnsi="Times New Roman" w:cs="Times New Roman"/>
        </w:rPr>
        <w:t xml:space="preserve">Chang BS, Lowenstein DH (2003) Quality Standards Subcommittee of the American Academy of Neurology. Practice parameter: antiepileptic drug prophylaxis in severe traumatic brain injury: report of the Quality Standards Subcommittee of the American Academy of Neurology. </w:t>
      </w:r>
      <w:r>
        <w:rPr>
          <w:rFonts w:ascii="Times New Roman" w:hAnsi="Times New Roman" w:cs="Times New Roman"/>
        </w:rPr>
        <w:t>Neurology 60</w:t>
      </w:r>
      <w:r w:rsidRPr="00BA0F2B">
        <w:rPr>
          <w:rFonts w:ascii="Times New Roman" w:hAnsi="Times New Roman" w:cs="Times New Roman"/>
        </w:rPr>
        <w:t>:10-</w:t>
      </w:r>
      <w:r>
        <w:rPr>
          <w:rFonts w:ascii="Times New Roman" w:hAnsi="Times New Roman" w:cs="Times New Roman"/>
        </w:rPr>
        <w:t>1</w:t>
      </w:r>
      <w:r w:rsidRPr="00BA0F2B">
        <w:rPr>
          <w:rFonts w:ascii="Times New Roman" w:hAnsi="Times New Roman" w:cs="Times New Roman"/>
        </w:rPr>
        <w:t>6</w:t>
      </w:r>
      <w:r>
        <w:rPr>
          <w:rFonts w:ascii="Times New Roman" w:hAnsi="Times New Roman" w:cs="Times New Roman"/>
        </w:rPr>
        <w:t xml:space="preserve">. </w:t>
      </w:r>
    </w:p>
    <w:p w14:paraId="17A05526" w14:textId="77777777" w:rsidR="00135291" w:rsidRDefault="00AE5847" w:rsidP="00135291">
      <w:pPr>
        <w:pStyle w:val="details"/>
        <w:shd w:val="clear" w:color="auto" w:fill="FFFFFF"/>
        <w:spacing w:before="0" w:beforeAutospacing="0" w:after="0" w:afterAutospacing="0"/>
        <w:rPr>
          <w:sz w:val="22"/>
          <w:szCs w:val="22"/>
        </w:rPr>
      </w:pPr>
      <w:r w:rsidRPr="00947BD5">
        <w:rPr>
          <w:sz w:val="22"/>
          <w:szCs w:val="22"/>
        </w:rPr>
        <w:t>Teasell R, Bayona N, Marshall S, Cullen N, Bayley M, Chundamala J,</w:t>
      </w:r>
      <w:r w:rsidRPr="00947BD5">
        <w:rPr>
          <w:rStyle w:val="apple-converted-space"/>
          <w:sz w:val="22"/>
          <w:szCs w:val="22"/>
        </w:rPr>
        <w:t> </w:t>
      </w:r>
      <w:r w:rsidRPr="00947BD5">
        <w:rPr>
          <w:bCs/>
          <w:sz w:val="22"/>
          <w:szCs w:val="22"/>
        </w:rPr>
        <w:t>Villamere</w:t>
      </w:r>
      <w:r w:rsidRPr="00947BD5">
        <w:rPr>
          <w:rStyle w:val="apple-converted-space"/>
          <w:sz w:val="22"/>
          <w:szCs w:val="22"/>
        </w:rPr>
        <w:t> </w:t>
      </w:r>
      <w:r w:rsidRPr="00947BD5">
        <w:rPr>
          <w:sz w:val="22"/>
          <w:szCs w:val="22"/>
        </w:rPr>
        <w:t>J, Mackie D, Rees L, Hartridge C, Lippert C, Hilditch M, Welch-West P, Weiser M, Ferri C, McCabe P, McCormick A, Aubut JA, Comper P, Salter K, Van Reekum R, Collins D, Foley N, Nowak J, Jutai J, Speechley M,</w:t>
      </w:r>
      <w:r w:rsidRPr="00947BD5">
        <w:rPr>
          <w:rStyle w:val="apple-converted-space"/>
          <w:sz w:val="22"/>
          <w:szCs w:val="22"/>
        </w:rPr>
        <w:t> </w:t>
      </w:r>
      <w:r w:rsidRPr="00947BD5">
        <w:rPr>
          <w:bCs/>
          <w:sz w:val="22"/>
          <w:szCs w:val="22"/>
        </w:rPr>
        <w:t>Hellings</w:t>
      </w:r>
      <w:r w:rsidRPr="00947BD5">
        <w:rPr>
          <w:rStyle w:val="apple-converted-space"/>
          <w:sz w:val="22"/>
          <w:szCs w:val="22"/>
        </w:rPr>
        <w:t> </w:t>
      </w:r>
      <w:r>
        <w:rPr>
          <w:sz w:val="22"/>
          <w:szCs w:val="22"/>
        </w:rPr>
        <w:t xml:space="preserve">C, Tu L (2007) </w:t>
      </w:r>
      <w:hyperlink r:id="rId6" w:history="1">
        <w:r w:rsidRPr="00947BD5">
          <w:rPr>
            <w:rStyle w:val="Hyperlink"/>
            <w:color w:val="auto"/>
            <w:sz w:val="22"/>
            <w:szCs w:val="22"/>
            <w:u w:val="none"/>
          </w:rPr>
          <w:t>A systematic review of the rehabilitation of moderate to severe acquired brain injuries.</w:t>
        </w:r>
      </w:hyperlink>
      <w:r w:rsidRPr="00947BD5">
        <w:rPr>
          <w:rStyle w:val="jrnl"/>
          <w:sz w:val="22"/>
          <w:szCs w:val="22"/>
        </w:rPr>
        <w:t xml:space="preserve"> Brain Inj</w:t>
      </w:r>
      <w:r w:rsidRPr="00947BD5">
        <w:rPr>
          <w:sz w:val="22"/>
          <w:szCs w:val="22"/>
        </w:rPr>
        <w:t>.</w:t>
      </w:r>
      <w:r w:rsidRPr="00947BD5">
        <w:rPr>
          <w:rStyle w:val="apple-converted-space"/>
          <w:sz w:val="22"/>
          <w:szCs w:val="22"/>
        </w:rPr>
        <w:t> </w:t>
      </w:r>
      <w:r>
        <w:rPr>
          <w:sz w:val="22"/>
          <w:szCs w:val="22"/>
        </w:rPr>
        <w:t>21</w:t>
      </w:r>
      <w:r w:rsidRPr="00947BD5">
        <w:rPr>
          <w:sz w:val="22"/>
          <w:szCs w:val="22"/>
        </w:rPr>
        <w:t>:107-</w:t>
      </w:r>
      <w:r>
        <w:rPr>
          <w:sz w:val="22"/>
          <w:szCs w:val="22"/>
        </w:rPr>
        <w:t>1</w:t>
      </w:r>
      <w:r w:rsidRPr="00947BD5">
        <w:rPr>
          <w:sz w:val="22"/>
          <w:szCs w:val="22"/>
        </w:rPr>
        <w:t xml:space="preserve">12. </w:t>
      </w:r>
    </w:p>
    <w:p w14:paraId="7CEF49E0" w14:textId="77777777" w:rsidR="00135291" w:rsidRDefault="00135291" w:rsidP="00135291">
      <w:pPr>
        <w:pStyle w:val="details"/>
        <w:shd w:val="clear" w:color="auto" w:fill="FFFFFF"/>
        <w:spacing w:before="0" w:beforeAutospacing="0" w:after="0" w:afterAutospacing="0"/>
        <w:rPr>
          <w:sz w:val="22"/>
          <w:szCs w:val="22"/>
        </w:rPr>
      </w:pPr>
    </w:p>
    <w:p w14:paraId="02F203A0" w14:textId="77777777" w:rsidR="00595B8C" w:rsidRPr="00472A07" w:rsidRDefault="00AE5847" w:rsidP="00EE1015">
      <w:pPr>
        <w:pStyle w:val="details"/>
        <w:shd w:val="clear" w:color="auto" w:fill="FFFFFF"/>
        <w:spacing w:before="0" w:beforeAutospacing="0" w:after="0" w:afterAutospacing="0"/>
        <w:rPr>
          <w:color w:val="000000"/>
          <w:sz w:val="22"/>
          <w:szCs w:val="22"/>
        </w:rPr>
      </w:pPr>
      <w:r w:rsidRPr="00947BD5">
        <w:rPr>
          <w:color w:val="000000"/>
          <w:sz w:val="22"/>
          <w:szCs w:val="22"/>
        </w:rPr>
        <w:t xml:space="preserve">Temkin NR (2009) Preventing and treating posttraumatic seizures: the human experience. </w:t>
      </w:r>
      <w:r>
        <w:rPr>
          <w:color w:val="000000"/>
          <w:sz w:val="22"/>
          <w:szCs w:val="22"/>
        </w:rPr>
        <w:t xml:space="preserve">Epilepsia </w:t>
      </w:r>
      <w:r w:rsidRPr="00947BD5">
        <w:rPr>
          <w:color w:val="000000"/>
          <w:sz w:val="22"/>
          <w:szCs w:val="22"/>
        </w:rPr>
        <w:t>50 Suppl 2:10-</w:t>
      </w:r>
      <w:r w:rsidR="000D274D">
        <w:rPr>
          <w:color w:val="000000"/>
          <w:sz w:val="22"/>
          <w:szCs w:val="22"/>
        </w:rPr>
        <w:t>1</w:t>
      </w:r>
      <w:r w:rsidRPr="00947BD5">
        <w:rPr>
          <w:color w:val="000000"/>
          <w:sz w:val="22"/>
          <w:szCs w:val="22"/>
        </w:rPr>
        <w:t xml:space="preserve">3. </w:t>
      </w:r>
      <w:bookmarkStart w:id="0" w:name="_GoBack"/>
      <w:bookmarkEnd w:id="0"/>
    </w:p>
    <w:sectPr w:rsidR="00595B8C" w:rsidRPr="00472A07" w:rsidSect="00067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3FAE"/>
    <w:multiLevelType w:val="hybridMultilevel"/>
    <w:tmpl w:val="78444D76"/>
    <w:lvl w:ilvl="0" w:tplc="28B277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2"/>
  </w:compat>
  <w:rsids>
    <w:rsidRoot w:val="00CE50E9"/>
    <w:rsid w:val="0000569E"/>
    <w:rsid w:val="00010C06"/>
    <w:rsid w:val="000110F8"/>
    <w:rsid w:val="00013C85"/>
    <w:rsid w:val="000158DC"/>
    <w:rsid w:val="00021C91"/>
    <w:rsid w:val="00031771"/>
    <w:rsid w:val="00033097"/>
    <w:rsid w:val="00033FFF"/>
    <w:rsid w:val="00040484"/>
    <w:rsid w:val="000418C9"/>
    <w:rsid w:val="00065759"/>
    <w:rsid w:val="00065C02"/>
    <w:rsid w:val="000675C8"/>
    <w:rsid w:val="000818CC"/>
    <w:rsid w:val="000832ED"/>
    <w:rsid w:val="00083F5E"/>
    <w:rsid w:val="000850F5"/>
    <w:rsid w:val="00087DFA"/>
    <w:rsid w:val="00091378"/>
    <w:rsid w:val="00094D63"/>
    <w:rsid w:val="000A12EF"/>
    <w:rsid w:val="000A2F24"/>
    <w:rsid w:val="000A6CB8"/>
    <w:rsid w:val="000B1392"/>
    <w:rsid w:val="000D1300"/>
    <w:rsid w:val="000D274D"/>
    <w:rsid w:val="000D5282"/>
    <w:rsid w:val="000D71A3"/>
    <w:rsid w:val="000F6005"/>
    <w:rsid w:val="0010452D"/>
    <w:rsid w:val="00111E6E"/>
    <w:rsid w:val="00127AC7"/>
    <w:rsid w:val="00130A72"/>
    <w:rsid w:val="001321F1"/>
    <w:rsid w:val="00135291"/>
    <w:rsid w:val="00153DD4"/>
    <w:rsid w:val="00162FD0"/>
    <w:rsid w:val="00172A47"/>
    <w:rsid w:val="00175B8F"/>
    <w:rsid w:val="0018332E"/>
    <w:rsid w:val="001901C4"/>
    <w:rsid w:val="00193F3E"/>
    <w:rsid w:val="00196556"/>
    <w:rsid w:val="001A2C48"/>
    <w:rsid w:val="001A5895"/>
    <w:rsid w:val="001C0D81"/>
    <w:rsid w:val="001C2E57"/>
    <w:rsid w:val="001D2F5F"/>
    <w:rsid w:val="001D4129"/>
    <w:rsid w:val="001E351E"/>
    <w:rsid w:val="001E5931"/>
    <w:rsid w:val="001F498F"/>
    <w:rsid w:val="00203089"/>
    <w:rsid w:val="00214609"/>
    <w:rsid w:val="00217B3A"/>
    <w:rsid w:val="00227515"/>
    <w:rsid w:val="002419E1"/>
    <w:rsid w:val="002475A7"/>
    <w:rsid w:val="002526CD"/>
    <w:rsid w:val="00257888"/>
    <w:rsid w:val="00263926"/>
    <w:rsid w:val="002648EF"/>
    <w:rsid w:val="002671CF"/>
    <w:rsid w:val="002831AC"/>
    <w:rsid w:val="002874CE"/>
    <w:rsid w:val="0029266F"/>
    <w:rsid w:val="002942B1"/>
    <w:rsid w:val="002A6593"/>
    <w:rsid w:val="002B1451"/>
    <w:rsid w:val="002B4FE9"/>
    <w:rsid w:val="002C46E2"/>
    <w:rsid w:val="002D3AFE"/>
    <w:rsid w:val="002D797E"/>
    <w:rsid w:val="002F013D"/>
    <w:rsid w:val="002F268C"/>
    <w:rsid w:val="002F54E7"/>
    <w:rsid w:val="002F621A"/>
    <w:rsid w:val="002F6CA1"/>
    <w:rsid w:val="00302697"/>
    <w:rsid w:val="003034B8"/>
    <w:rsid w:val="00303CF0"/>
    <w:rsid w:val="00307CEF"/>
    <w:rsid w:val="0031076D"/>
    <w:rsid w:val="00310C7A"/>
    <w:rsid w:val="0035325F"/>
    <w:rsid w:val="00353792"/>
    <w:rsid w:val="00365E9E"/>
    <w:rsid w:val="00366DCB"/>
    <w:rsid w:val="0038041F"/>
    <w:rsid w:val="00387725"/>
    <w:rsid w:val="0039020A"/>
    <w:rsid w:val="003920A1"/>
    <w:rsid w:val="00392642"/>
    <w:rsid w:val="00395366"/>
    <w:rsid w:val="003A00EB"/>
    <w:rsid w:val="003A4EF6"/>
    <w:rsid w:val="003B2223"/>
    <w:rsid w:val="003B7EA1"/>
    <w:rsid w:val="003C04AE"/>
    <w:rsid w:val="003D658C"/>
    <w:rsid w:val="003D6669"/>
    <w:rsid w:val="003E114C"/>
    <w:rsid w:val="003E35F3"/>
    <w:rsid w:val="003F22F8"/>
    <w:rsid w:val="00401A9F"/>
    <w:rsid w:val="004076AB"/>
    <w:rsid w:val="00413AB1"/>
    <w:rsid w:val="00414826"/>
    <w:rsid w:val="00423D9A"/>
    <w:rsid w:val="00432C33"/>
    <w:rsid w:val="0044347F"/>
    <w:rsid w:val="00444D22"/>
    <w:rsid w:val="004476FA"/>
    <w:rsid w:val="00455528"/>
    <w:rsid w:val="0045592E"/>
    <w:rsid w:val="00456296"/>
    <w:rsid w:val="00460317"/>
    <w:rsid w:val="00464733"/>
    <w:rsid w:val="00472A07"/>
    <w:rsid w:val="00474E03"/>
    <w:rsid w:val="0048137E"/>
    <w:rsid w:val="0048245A"/>
    <w:rsid w:val="00496993"/>
    <w:rsid w:val="004B1755"/>
    <w:rsid w:val="004C43E6"/>
    <w:rsid w:val="004C5BD6"/>
    <w:rsid w:val="004C7D78"/>
    <w:rsid w:val="004D027E"/>
    <w:rsid w:val="004D05EA"/>
    <w:rsid w:val="004D0A58"/>
    <w:rsid w:val="004D1693"/>
    <w:rsid w:val="004E540A"/>
    <w:rsid w:val="004F013C"/>
    <w:rsid w:val="004F693B"/>
    <w:rsid w:val="00500A05"/>
    <w:rsid w:val="00505BCD"/>
    <w:rsid w:val="00511BDC"/>
    <w:rsid w:val="00533E56"/>
    <w:rsid w:val="005474EB"/>
    <w:rsid w:val="0056176C"/>
    <w:rsid w:val="00575E31"/>
    <w:rsid w:val="0057795B"/>
    <w:rsid w:val="00582A96"/>
    <w:rsid w:val="00590CBA"/>
    <w:rsid w:val="00595B8C"/>
    <w:rsid w:val="005A1BB5"/>
    <w:rsid w:val="005A75EA"/>
    <w:rsid w:val="005B00C2"/>
    <w:rsid w:val="005B2674"/>
    <w:rsid w:val="005B4072"/>
    <w:rsid w:val="005C70F7"/>
    <w:rsid w:val="005D30D9"/>
    <w:rsid w:val="005D326E"/>
    <w:rsid w:val="005D3ABB"/>
    <w:rsid w:val="005D3AEE"/>
    <w:rsid w:val="005D4183"/>
    <w:rsid w:val="005D6DB8"/>
    <w:rsid w:val="005D77DA"/>
    <w:rsid w:val="005F1D51"/>
    <w:rsid w:val="005F5A2C"/>
    <w:rsid w:val="005F7A59"/>
    <w:rsid w:val="006118E9"/>
    <w:rsid w:val="0061573B"/>
    <w:rsid w:val="0064524E"/>
    <w:rsid w:val="00653E38"/>
    <w:rsid w:val="006704CA"/>
    <w:rsid w:val="00671395"/>
    <w:rsid w:val="006723FC"/>
    <w:rsid w:val="006A5609"/>
    <w:rsid w:val="006A75E8"/>
    <w:rsid w:val="006B0B7F"/>
    <w:rsid w:val="006C32FF"/>
    <w:rsid w:val="006C35E5"/>
    <w:rsid w:val="006D2A6C"/>
    <w:rsid w:val="006D62E7"/>
    <w:rsid w:val="006E0163"/>
    <w:rsid w:val="006E2373"/>
    <w:rsid w:val="006E4237"/>
    <w:rsid w:val="006E51E3"/>
    <w:rsid w:val="006E63DB"/>
    <w:rsid w:val="006F0AC8"/>
    <w:rsid w:val="006F622F"/>
    <w:rsid w:val="007102F6"/>
    <w:rsid w:val="00713D19"/>
    <w:rsid w:val="00714A52"/>
    <w:rsid w:val="00715450"/>
    <w:rsid w:val="00722015"/>
    <w:rsid w:val="00726036"/>
    <w:rsid w:val="0072788A"/>
    <w:rsid w:val="007342AD"/>
    <w:rsid w:val="0074391A"/>
    <w:rsid w:val="00743DAC"/>
    <w:rsid w:val="00746A4C"/>
    <w:rsid w:val="00747759"/>
    <w:rsid w:val="00761239"/>
    <w:rsid w:val="00773822"/>
    <w:rsid w:val="00775AED"/>
    <w:rsid w:val="00777F45"/>
    <w:rsid w:val="007A1766"/>
    <w:rsid w:val="007B5726"/>
    <w:rsid w:val="007C25B3"/>
    <w:rsid w:val="007D29C1"/>
    <w:rsid w:val="007E04F9"/>
    <w:rsid w:val="007F64D5"/>
    <w:rsid w:val="00807265"/>
    <w:rsid w:val="00811597"/>
    <w:rsid w:val="0081329B"/>
    <w:rsid w:val="00822130"/>
    <w:rsid w:val="00823AF3"/>
    <w:rsid w:val="00832CD7"/>
    <w:rsid w:val="008339F6"/>
    <w:rsid w:val="00836352"/>
    <w:rsid w:val="00846D19"/>
    <w:rsid w:val="008503C8"/>
    <w:rsid w:val="00895E8D"/>
    <w:rsid w:val="008B213D"/>
    <w:rsid w:val="008B612B"/>
    <w:rsid w:val="008C64CE"/>
    <w:rsid w:val="008D1178"/>
    <w:rsid w:val="008D4552"/>
    <w:rsid w:val="008D6EDC"/>
    <w:rsid w:val="008E1D9E"/>
    <w:rsid w:val="00900760"/>
    <w:rsid w:val="009036B2"/>
    <w:rsid w:val="00904EA9"/>
    <w:rsid w:val="0090588A"/>
    <w:rsid w:val="00907FA4"/>
    <w:rsid w:val="00910E81"/>
    <w:rsid w:val="00914AA8"/>
    <w:rsid w:val="00915683"/>
    <w:rsid w:val="00920DCA"/>
    <w:rsid w:val="0092497F"/>
    <w:rsid w:val="00942C46"/>
    <w:rsid w:val="009508E0"/>
    <w:rsid w:val="009521C5"/>
    <w:rsid w:val="009570B8"/>
    <w:rsid w:val="00963B34"/>
    <w:rsid w:val="00965621"/>
    <w:rsid w:val="00972BC5"/>
    <w:rsid w:val="0098059D"/>
    <w:rsid w:val="009830E8"/>
    <w:rsid w:val="00984096"/>
    <w:rsid w:val="009840B4"/>
    <w:rsid w:val="00985F88"/>
    <w:rsid w:val="00993D55"/>
    <w:rsid w:val="009A2E82"/>
    <w:rsid w:val="009A64FC"/>
    <w:rsid w:val="009B2138"/>
    <w:rsid w:val="009E3B11"/>
    <w:rsid w:val="009F0CAF"/>
    <w:rsid w:val="009F16E9"/>
    <w:rsid w:val="00A01F85"/>
    <w:rsid w:val="00A05D04"/>
    <w:rsid w:val="00A13D92"/>
    <w:rsid w:val="00A16F82"/>
    <w:rsid w:val="00A21551"/>
    <w:rsid w:val="00A3512A"/>
    <w:rsid w:val="00A53A75"/>
    <w:rsid w:val="00A7766C"/>
    <w:rsid w:val="00A820AE"/>
    <w:rsid w:val="00A906B7"/>
    <w:rsid w:val="00A9702A"/>
    <w:rsid w:val="00AA14B7"/>
    <w:rsid w:val="00AA3098"/>
    <w:rsid w:val="00AA44C5"/>
    <w:rsid w:val="00AB1967"/>
    <w:rsid w:val="00AB45BA"/>
    <w:rsid w:val="00AB5029"/>
    <w:rsid w:val="00AD51A0"/>
    <w:rsid w:val="00AD5622"/>
    <w:rsid w:val="00AD6E09"/>
    <w:rsid w:val="00AE108E"/>
    <w:rsid w:val="00AE5847"/>
    <w:rsid w:val="00AF13EA"/>
    <w:rsid w:val="00B04550"/>
    <w:rsid w:val="00B0601C"/>
    <w:rsid w:val="00B07113"/>
    <w:rsid w:val="00B12289"/>
    <w:rsid w:val="00B20310"/>
    <w:rsid w:val="00B220D6"/>
    <w:rsid w:val="00B26065"/>
    <w:rsid w:val="00B2797E"/>
    <w:rsid w:val="00B32FC2"/>
    <w:rsid w:val="00B358E8"/>
    <w:rsid w:val="00B575DA"/>
    <w:rsid w:val="00B71BE1"/>
    <w:rsid w:val="00B8697C"/>
    <w:rsid w:val="00B93D06"/>
    <w:rsid w:val="00B959FC"/>
    <w:rsid w:val="00BB0CF4"/>
    <w:rsid w:val="00BB4928"/>
    <w:rsid w:val="00BB6970"/>
    <w:rsid w:val="00BC082D"/>
    <w:rsid w:val="00BC1B3A"/>
    <w:rsid w:val="00BD03F7"/>
    <w:rsid w:val="00BD7817"/>
    <w:rsid w:val="00BE759D"/>
    <w:rsid w:val="00BF1B68"/>
    <w:rsid w:val="00BF3C13"/>
    <w:rsid w:val="00BF60A7"/>
    <w:rsid w:val="00C0574E"/>
    <w:rsid w:val="00C173D4"/>
    <w:rsid w:val="00C30EC9"/>
    <w:rsid w:val="00C354E2"/>
    <w:rsid w:val="00C41367"/>
    <w:rsid w:val="00C42386"/>
    <w:rsid w:val="00C50BA0"/>
    <w:rsid w:val="00C55D6D"/>
    <w:rsid w:val="00C673E0"/>
    <w:rsid w:val="00C72799"/>
    <w:rsid w:val="00C807F1"/>
    <w:rsid w:val="00C854E0"/>
    <w:rsid w:val="00C87DDE"/>
    <w:rsid w:val="00C87E2A"/>
    <w:rsid w:val="00C928C2"/>
    <w:rsid w:val="00C9683C"/>
    <w:rsid w:val="00CA0E17"/>
    <w:rsid w:val="00CA1634"/>
    <w:rsid w:val="00CC601E"/>
    <w:rsid w:val="00CD2B2C"/>
    <w:rsid w:val="00CD6907"/>
    <w:rsid w:val="00CE1A67"/>
    <w:rsid w:val="00CE265E"/>
    <w:rsid w:val="00CE50E9"/>
    <w:rsid w:val="00CE549E"/>
    <w:rsid w:val="00CF5A5F"/>
    <w:rsid w:val="00D023F3"/>
    <w:rsid w:val="00D03916"/>
    <w:rsid w:val="00D04ADC"/>
    <w:rsid w:val="00D0585A"/>
    <w:rsid w:val="00D07B96"/>
    <w:rsid w:val="00D103A2"/>
    <w:rsid w:val="00D10515"/>
    <w:rsid w:val="00D11EFF"/>
    <w:rsid w:val="00D14875"/>
    <w:rsid w:val="00D168DF"/>
    <w:rsid w:val="00D22E3E"/>
    <w:rsid w:val="00D2522E"/>
    <w:rsid w:val="00D258EE"/>
    <w:rsid w:val="00D273D6"/>
    <w:rsid w:val="00D32F9E"/>
    <w:rsid w:val="00D377A0"/>
    <w:rsid w:val="00D43676"/>
    <w:rsid w:val="00D528CF"/>
    <w:rsid w:val="00D53588"/>
    <w:rsid w:val="00D72DCA"/>
    <w:rsid w:val="00D83F61"/>
    <w:rsid w:val="00D86807"/>
    <w:rsid w:val="00D91967"/>
    <w:rsid w:val="00DA735F"/>
    <w:rsid w:val="00DB2AA2"/>
    <w:rsid w:val="00DC4CA7"/>
    <w:rsid w:val="00DC640F"/>
    <w:rsid w:val="00DC65FF"/>
    <w:rsid w:val="00DC7BFC"/>
    <w:rsid w:val="00DD3BDB"/>
    <w:rsid w:val="00DE6B81"/>
    <w:rsid w:val="00DF3F25"/>
    <w:rsid w:val="00DF7842"/>
    <w:rsid w:val="00E1177E"/>
    <w:rsid w:val="00E13453"/>
    <w:rsid w:val="00E15AF9"/>
    <w:rsid w:val="00E16A90"/>
    <w:rsid w:val="00E21E83"/>
    <w:rsid w:val="00E230AC"/>
    <w:rsid w:val="00E30D36"/>
    <w:rsid w:val="00E445A5"/>
    <w:rsid w:val="00E55B7B"/>
    <w:rsid w:val="00E5793D"/>
    <w:rsid w:val="00E600A1"/>
    <w:rsid w:val="00E6221E"/>
    <w:rsid w:val="00E71982"/>
    <w:rsid w:val="00E71E6F"/>
    <w:rsid w:val="00E921B7"/>
    <w:rsid w:val="00EA3343"/>
    <w:rsid w:val="00EA3EC1"/>
    <w:rsid w:val="00EB3968"/>
    <w:rsid w:val="00EB3B70"/>
    <w:rsid w:val="00EC6118"/>
    <w:rsid w:val="00ED7BD7"/>
    <w:rsid w:val="00EE0D59"/>
    <w:rsid w:val="00EE1015"/>
    <w:rsid w:val="00EF3D84"/>
    <w:rsid w:val="00EF3FFD"/>
    <w:rsid w:val="00EF7E23"/>
    <w:rsid w:val="00F116A7"/>
    <w:rsid w:val="00F11D1B"/>
    <w:rsid w:val="00F14116"/>
    <w:rsid w:val="00F21D95"/>
    <w:rsid w:val="00F25F9B"/>
    <w:rsid w:val="00F331CF"/>
    <w:rsid w:val="00F41240"/>
    <w:rsid w:val="00F41D7E"/>
    <w:rsid w:val="00F516B0"/>
    <w:rsid w:val="00F566DC"/>
    <w:rsid w:val="00F57DFE"/>
    <w:rsid w:val="00F60122"/>
    <w:rsid w:val="00F6051A"/>
    <w:rsid w:val="00F611AC"/>
    <w:rsid w:val="00F62CDB"/>
    <w:rsid w:val="00F70FAE"/>
    <w:rsid w:val="00F75DD4"/>
    <w:rsid w:val="00F81996"/>
    <w:rsid w:val="00FA5806"/>
    <w:rsid w:val="00FC3AAA"/>
    <w:rsid w:val="00FC6243"/>
    <w:rsid w:val="00FD1421"/>
    <w:rsid w:val="00FD1ECC"/>
    <w:rsid w:val="00FD46F1"/>
    <w:rsid w:val="00FD5318"/>
    <w:rsid w:val="00FF1A2D"/>
    <w:rsid w:val="00FF4914"/>
    <w:rsid w:val="00FF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7F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0E9"/>
    <w:pPr>
      <w:ind w:left="720"/>
      <w:contextualSpacing/>
    </w:pPr>
  </w:style>
  <w:style w:type="character" w:styleId="CommentReference">
    <w:name w:val="annotation reference"/>
    <w:basedOn w:val="DefaultParagraphFont"/>
    <w:uiPriority w:val="99"/>
    <w:semiHidden/>
    <w:unhideWhenUsed/>
    <w:rsid w:val="005C70F7"/>
    <w:rPr>
      <w:sz w:val="16"/>
      <w:szCs w:val="16"/>
    </w:rPr>
  </w:style>
  <w:style w:type="paragraph" w:styleId="CommentText">
    <w:name w:val="annotation text"/>
    <w:basedOn w:val="Normal"/>
    <w:link w:val="CommentTextChar"/>
    <w:uiPriority w:val="99"/>
    <w:semiHidden/>
    <w:unhideWhenUsed/>
    <w:rsid w:val="005C70F7"/>
    <w:pPr>
      <w:spacing w:line="240" w:lineRule="auto"/>
    </w:pPr>
    <w:rPr>
      <w:sz w:val="20"/>
      <w:szCs w:val="20"/>
    </w:rPr>
  </w:style>
  <w:style w:type="character" w:customStyle="1" w:styleId="CommentTextChar">
    <w:name w:val="Comment Text Char"/>
    <w:basedOn w:val="DefaultParagraphFont"/>
    <w:link w:val="CommentText"/>
    <w:uiPriority w:val="99"/>
    <w:semiHidden/>
    <w:rsid w:val="005C70F7"/>
    <w:rPr>
      <w:sz w:val="20"/>
      <w:szCs w:val="20"/>
    </w:rPr>
  </w:style>
  <w:style w:type="paragraph" w:styleId="CommentSubject">
    <w:name w:val="annotation subject"/>
    <w:basedOn w:val="CommentText"/>
    <w:next w:val="CommentText"/>
    <w:link w:val="CommentSubjectChar"/>
    <w:uiPriority w:val="99"/>
    <w:semiHidden/>
    <w:unhideWhenUsed/>
    <w:rsid w:val="005C70F7"/>
    <w:rPr>
      <w:b/>
      <w:bCs/>
    </w:rPr>
  </w:style>
  <w:style w:type="character" w:customStyle="1" w:styleId="CommentSubjectChar">
    <w:name w:val="Comment Subject Char"/>
    <w:basedOn w:val="CommentTextChar"/>
    <w:link w:val="CommentSubject"/>
    <w:uiPriority w:val="99"/>
    <w:semiHidden/>
    <w:rsid w:val="005C70F7"/>
    <w:rPr>
      <w:b/>
      <w:bCs/>
      <w:sz w:val="20"/>
      <w:szCs w:val="20"/>
    </w:rPr>
  </w:style>
  <w:style w:type="paragraph" w:styleId="BalloonText">
    <w:name w:val="Balloon Text"/>
    <w:basedOn w:val="Normal"/>
    <w:link w:val="BalloonTextChar"/>
    <w:uiPriority w:val="99"/>
    <w:semiHidden/>
    <w:unhideWhenUsed/>
    <w:rsid w:val="005C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F7"/>
    <w:rPr>
      <w:rFonts w:ascii="Tahoma" w:hAnsi="Tahoma" w:cs="Tahoma"/>
      <w:sz w:val="16"/>
      <w:szCs w:val="16"/>
    </w:rPr>
  </w:style>
  <w:style w:type="character" w:styleId="Hyperlink">
    <w:name w:val="Hyperlink"/>
    <w:basedOn w:val="DefaultParagraphFont"/>
    <w:uiPriority w:val="99"/>
    <w:unhideWhenUsed/>
    <w:rsid w:val="00AE5847"/>
    <w:rPr>
      <w:color w:val="0000FF" w:themeColor="hyperlink"/>
      <w:u w:val="single"/>
    </w:rPr>
  </w:style>
  <w:style w:type="character" w:customStyle="1" w:styleId="apple-converted-space">
    <w:name w:val="apple-converted-space"/>
    <w:basedOn w:val="DefaultParagraphFont"/>
    <w:rsid w:val="00AE5847"/>
  </w:style>
  <w:style w:type="paragraph" w:customStyle="1" w:styleId="details">
    <w:name w:val="details"/>
    <w:basedOn w:val="Normal"/>
    <w:rsid w:val="00AE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AE5847"/>
  </w:style>
  <w:style w:type="character" w:customStyle="1" w:styleId="nlmgiven-names">
    <w:name w:val="nlm_given-names"/>
    <w:basedOn w:val="DefaultParagraphFont"/>
    <w:rsid w:val="0038041F"/>
  </w:style>
  <w:style w:type="character" w:customStyle="1" w:styleId="nlmarticle-title">
    <w:name w:val="nlm_article-title"/>
    <w:basedOn w:val="DefaultParagraphFont"/>
    <w:rsid w:val="0038041F"/>
  </w:style>
  <w:style w:type="character" w:customStyle="1" w:styleId="citationsource-journal">
    <w:name w:val="citation_source-journal"/>
    <w:basedOn w:val="DefaultParagraphFont"/>
    <w:rsid w:val="0038041F"/>
  </w:style>
  <w:style w:type="character" w:customStyle="1" w:styleId="nlmfpage">
    <w:name w:val="nlm_fpage"/>
    <w:basedOn w:val="DefaultParagraphFont"/>
    <w:rsid w:val="0038041F"/>
  </w:style>
  <w:style w:type="character" w:customStyle="1" w:styleId="nlmlpage">
    <w:name w:val="nlm_lpage"/>
    <w:basedOn w:val="DefaultParagraphFont"/>
    <w:rsid w:val="0038041F"/>
  </w:style>
  <w:style w:type="character" w:customStyle="1" w:styleId="nlmyear">
    <w:name w:val="nlm_year"/>
    <w:basedOn w:val="DefaultParagraphFont"/>
    <w:rsid w:val="0038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37089">
      <w:bodyDiv w:val="1"/>
      <w:marLeft w:val="0"/>
      <w:marRight w:val="0"/>
      <w:marTop w:val="0"/>
      <w:marBottom w:val="0"/>
      <w:divBdr>
        <w:top w:val="none" w:sz="0" w:space="0" w:color="auto"/>
        <w:left w:val="none" w:sz="0" w:space="0" w:color="auto"/>
        <w:bottom w:val="none" w:sz="0" w:space="0" w:color="auto"/>
        <w:right w:val="none" w:sz="0" w:space="0" w:color="auto"/>
      </w:divBdr>
    </w:div>
    <w:div w:id="811101625">
      <w:bodyDiv w:val="1"/>
      <w:marLeft w:val="0"/>
      <w:marRight w:val="0"/>
      <w:marTop w:val="0"/>
      <w:marBottom w:val="0"/>
      <w:divBdr>
        <w:top w:val="none" w:sz="0" w:space="0" w:color="auto"/>
        <w:left w:val="none" w:sz="0" w:space="0" w:color="auto"/>
        <w:bottom w:val="none" w:sz="0" w:space="0" w:color="auto"/>
        <w:right w:val="none" w:sz="0" w:space="0" w:color="auto"/>
      </w:divBdr>
    </w:div>
    <w:div w:id="1212420324">
      <w:bodyDiv w:val="1"/>
      <w:marLeft w:val="0"/>
      <w:marRight w:val="0"/>
      <w:marTop w:val="0"/>
      <w:marBottom w:val="0"/>
      <w:divBdr>
        <w:top w:val="none" w:sz="0" w:space="0" w:color="auto"/>
        <w:left w:val="none" w:sz="0" w:space="0" w:color="auto"/>
        <w:bottom w:val="none" w:sz="0" w:space="0" w:color="auto"/>
        <w:right w:val="none" w:sz="0" w:space="0" w:color="auto"/>
      </w:divBdr>
    </w:div>
    <w:div w:id="1314486996">
      <w:bodyDiv w:val="1"/>
      <w:marLeft w:val="0"/>
      <w:marRight w:val="0"/>
      <w:marTop w:val="0"/>
      <w:marBottom w:val="0"/>
      <w:divBdr>
        <w:top w:val="none" w:sz="0" w:space="0" w:color="auto"/>
        <w:left w:val="none" w:sz="0" w:space="0" w:color="auto"/>
        <w:bottom w:val="none" w:sz="0" w:space="0" w:color="auto"/>
        <w:right w:val="none" w:sz="0" w:space="0" w:color="auto"/>
      </w:divBdr>
    </w:div>
    <w:div w:id="1627664289">
      <w:bodyDiv w:val="1"/>
      <w:marLeft w:val="0"/>
      <w:marRight w:val="0"/>
      <w:marTop w:val="0"/>
      <w:marBottom w:val="0"/>
      <w:divBdr>
        <w:top w:val="none" w:sz="0" w:space="0" w:color="auto"/>
        <w:left w:val="none" w:sz="0" w:space="0" w:color="auto"/>
        <w:bottom w:val="none" w:sz="0" w:space="0" w:color="auto"/>
        <w:right w:val="none" w:sz="0" w:space="0" w:color="auto"/>
      </w:divBdr>
    </w:div>
    <w:div w:id="1763061315">
      <w:bodyDiv w:val="1"/>
      <w:marLeft w:val="0"/>
      <w:marRight w:val="0"/>
      <w:marTop w:val="0"/>
      <w:marBottom w:val="0"/>
      <w:divBdr>
        <w:top w:val="none" w:sz="0" w:space="0" w:color="auto"/>
        <w:left w:val="none" w:sz="0" w:space="0" w:color="auto"/>
        <w:bottom w:val="none" w:sz="0" w:space="0" w:color="auto"/>
        <w:right w:val="none" w:sz="0" w:space="0" w:color="auto"/>
      </w:divBdr>
    </w:div>
    <w:div w:id="1854220037">
      <w:bodyDiv w:val="1"/>
      <w:marLeft w:val="0"/>
      <w:marRight w:val="0"/>
      <w:marTop w:val="0"/>
      <w:marBottom w:val="0"/>
      <w:divBdr>
        <w:top w:val="none" w:sz="0" w:space="0" w:color="auto"/>
        <w:left w:val="none" w:sz="0" w:space="0" w:color="auto"/>
        <w:bottom w:val="none" w:sz="0" w:space="0" w:color="auto"/>
        <w:right w:val="none" w:sz="0" w:space="0" w:color="auto"/>
      </w:divBdr>
    </w:div>
    <w:div w:id="2066176144">
      <w:bodyDiv w:val="1"/>
      <w:marLeft w:val="0"/>
      <w:marRight w:val="0"/>
      <w:marTop w:val="0"/>
      <w:marBottom w:val="0"/>
      <w:divBdr>
        <w:top w:val="none" w:sz="0" w:space="0" w:color="auto"/>
        <w:left w:val="none" w:sz="0" w:space="0" w:color="auto"/>
        <w:bottom w:val="none" w:sz="0" w:space="0" w:color="auto"/>
        <w:right w:val="none" w:sz="0" w:space="0" w:color="auto"/>
      </w:divBdr>
    </w:div>
    <w:div w:id="21255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1736452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6AFE4-68A4-D54D-BA7E-A056AEBD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1551</Words>
  <Characters>8843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slokaiyengar</dc:creator>
  <cp:lastModifiedBy>Michael Tanksley</cp:lastModifiedBy>
  <cp:revision>4</cp:revision>
  <dcterms:created xsi:type="dcterms:W3CDTF">2016-06-14T07:40:00Z</dcterms:created>
  <dcterms:modified xsi:type="dcterms:W3CDTF">2018-02-17T19:03:00Z</dcterms:modified>
</cp:coreProperties>
</file>